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jc w:val="center"/>
        <w:rPr>
          <w:rStyle w:val="8"/>
          <w:sz w:val="32"/>
          <w:szCs w:val="32"/>
        </w:rPr>
      </w:pPr>
      <w:r>
        <w:rPr>
          <w:rStyle w:val="8"/>
          <w:rFonts w:hint="eastAsia"/>
          <w:sz w:val="32"/>
          <w:szCs w:val="32"/>
        </w:rPr>
        <w:t>深圳市罗湖小学2022-2023学年度第二学期</w:t>
      </w:r>
    </w:p>
    <w:p>
      <w:pPr>
        <w:pStyle w:val="6"/>
        <w:spacing w:before="0" w:beforeAutospacing="0" w:after="0" w:afterAutospacing="0"/>
        <w:jc w:val="center"/>
        <w:rPr>
          <w:sz w:val="32"/>
          <w:szCs w:val="32"/>
        </w:rPr>
      </w:pPr>
      <w:r>
        <w:rPr>
          <w:rStyle w:val="8"/>
          <w:sz w:val="32"/>
          <w:szCs w:val="32"/>
        </w:rPr>
        <w:t>学生校内午餐配送</w:t>
      </w:r>
      <w:r>
        <w:rPr>
          <w:rStyle w:val="8"/>
          <w:rFonts w:hint="eastAsia"/>
          <w:sz w:val="32"/>
          <w:szCs w:val="32"/>
        </w:rPr>
        <w:t>服务</w:t>
      </w:r>
      <w:r>
        <w:rPr>
          <w:rStyle w:val="8"/>
          <w:sz w:val="32"/>
          <w:szCs w:val="32"/>
        </w:rPr>
        <w:t>公开招标公告</w:t>
      </w:r>
    </w:p>
    <w:p>
      <w:pPr>
        <w:pStyle w:val="6"/>
        <w:spacing w:before="0" w:beforeAutospacing="0" w:after="0" w:afterAutospacing="0"/>
        <w:ind w:firstLine="480" w:firstLineChars="200"/>
      </w:pPr>
      <w:r>
        <w:t>根据《深圳经济特区政府采购条例》和《深圳网上政府采购管理暂行办法》等有关规定，</w:t>
      </w:r>
      <w:r>
        <w:rPr>
          <w:rFonts w:hint="eastAsia"/>
        </w:rPr>
        <w:t>我校</w:t>
      </w:r>
      <w:r>
        <w:t>学生午餐配餐企业公开招募项目采用</w:t>
      </w:r>
      <w:r>
        <w:rPr>
          <w:rFonts w:hint="eastAsia"/>
        </w:rPr>
        <w:t>在深圳市罗湖小学校园网上公开</w:t>
      </w:r>
      <w:r>
        <w:t>招标的方式面向社会招标，欢迎符合条件的供应商参加投标。</w:t>
      </w:r>
    </w:p>
    <w:p>
      <w:pPr>
        <w:pStyle w:val="6"/>
        <w:spacing w:before="0" w:beforeAutospacing="0" w:after="0" w:afterAutospacing="0"/>
      </w:pPr>
    </w:p>
    <w:p>
      <w:pPr>
        <w:pStyle w:val="6"/>
        <w:spacing w:before="0" w:beforeAutospacing="0" w:after="0" w:afterAutospacing="0"/>
      </w:pPr>
      <w:r>
        <w:rPr>
          <w:rStyle w:val="8"/>
        </w:rPr>
        <w:t>★ 项目简介★</w:t>
      </w:r>
    </w:p>
    <w:p>
      <w:pPr>
        <w:pStyle w:val="6"/>
        <w:spacing w:before="0" w:beforeAutospacing="0" w:after="0" w:afterAutospacing="0"/>
      </w:pPr>
    </w:p>
    <w:p>
      <w:pPr>
        <w:pStyle w:val="6"/>
        <w:spacing w:before="0" w:beforeAutospacing="0" w:after="0" w:afterAutospacing="0"/>
      </w:pPr>
      <w:r>
        <w:t>项目名称：</w:t>
      </w:r>
      <w:r>
        <w:rPr>
          <w:rFonts w:hint="eastAsia"/>
        </w:rPr>
        <w:t>深圳市罗湖小学2022-2023学年度第二学期</w:t>
      </w:r>
      <w:r>
        <w:t>学生校内午餐配送</w:t>
      </w:r>
      <w:r>
        <w:rPr>
          <w:rFonts w:hint="eastAsia"/>
        </w:rPr>
        <w:t>服务</w:t>
      </w:r>
    </w:p>
    <w:p>
      <w:pPr>
        <w:pStyle w:val="6"/>
        <w:spacing w:before="0" w:beforeAutospacing="0" w:after="0" w:afterAutospacing="0"/>
      </w:pPr>
      <w:r>
        <w:t>项目资金来源：家长支付</w:t>
      </w:r>
    </w:p>
    <w:p>
      <w:pPr>
        <w:pStyle w:val="6"/>
        <w:spacing w:before="0" w:beforeAutospacing="0" w:after="0" w:afterAutospacing="0"/>
      </w:pPr>
      <w:r>
        <w:t>项目采购控制金额</w:t>
      </w:r>
      <w:r>
        <w:rPr>
          <w:rFonts w:hint="eastAsia"/>
        </w:rPr>
        <w:t>：</w:t>
      </w:r>
      <w:r>
        <w:t>供应商根据自身的实力给出相应产品的单价，报价不能超过控制价</w:t>
      </w:r>
      <w:r>
        <w:rPr>
          <w:rFonts w:hint="eastAsia"/>
        </w:rPr>
        <w:t>20元/每餐。</w:t>
      </w:r>
    </w:p>
    <w:p>
      <w:pPr>
        <w:pStyle w:val="6"/>
        <w:spacing w:before="0" w:beforeAutospacing="0" w:after="0" w:afterAutospacing="0"/>
        <w:rPr>
          <w:rFonts w:hint="eastAsia"/>
        </w:rPr>
      </w:pPr>
      <w:r>
        <w:t>供货地点：</w:t>
      </w:r>
      <w:r>
        <w:rPr>
          <w:rFonts w:hint="eastAsia"/>
        </w:rPr>
        <w:t>深圳市罗湖小学</w:t>
      </w:r>
    </w:p>
    <w:p>
      <w:pPr>
        <w:pStyle w:val="6"/>
        <w:spacing w:before="0" w:beforeAutospacing="0" w:after="0" w:afterAutospacing="0"/>
        <w:rPr>
          <w:rFonts w:hint="eastAsia" w:eastAsia="宋体"/>
          <w:lang w:val="en-US" w:eastAsia="zh-CN"/>
        </w:rPr>
      </w:pPr>
      <w:r>
        <w:rPr>
          <w:rFonts w:hint="eastAsia"/>
          <w:lang w:eastAsia="zh-CN"/>
        </w:rPr>
        <w:t>配餐年级：</w:t>
      </w:r>
      <w:r>
        <w:rPr>
          <w:rFonts w:hint="eastAsia"/>
          <w:lang w:val="en-US" w:eastAsia="zh-CN"/>
        </w:rPr>
        <w:t>4-6年级（学校按实际可调整</w:t>
      </w:r>
      <w:bookmarkStart w:id="0" w:name="_GoBack"/>
      <w:bookmarkEnd w:id="0"/>
      <w:r>
        <w:rPr>
          <w:rFonts w:hint="eastAsia"/>
          <w:lang w:val="en-US" w:eastAsia="zh-CN"/>
        </w:rPr>
        <w:t>）</w:t>
      </w:r>
    </w:p>
    <w:p>
      <w:pPr>
        <w:pStyle w:val="6"/>
        <w:spacing w:before="0" w:beforeAutospacing="0" w:after="0" w:afterAutospacing="0"/>
      </w:pPr>
      <w:r>
        <w:t>合同期：20</w:t>
      </w:r>
      <w:r>
        <w:rPr>
          <w:rFonts w:hint="eastAsia"/>
        </w:rPr>
        <w:t>23</w:t>
      </w:r>
      <w:r>
        <w:t>年</w:t>
      </w:r>
      <w:r>
        <w:rPr>
          <w:rFonts w:hint="eastAsia"/>
        </w:rPr>
        <w:t>2</w:t>
      </w:r>
      <w:r>
        <w:t>月</w:t>
      </w:r>
      <w:r>
        <w:rPr>
          <w:rFonts w:hint="eastAsia"/>
        </w:rPr>
        <w:t>1</w:t>
      </w:r>
      <w:r>
        <w:t>1日至20</w:t>
      </w:r>
      <w:r>
        <w:rPr>
          <w:rFonts w:hint="eastAsia"/>
        </w:rPr>
        <w:t>23</w:t>
      </w:r>
      <w:r>
        <w:t>年</w:t>
      </w:r>
      <w:r>
        <w:rPr>
          <w:rFonts w:hint="eastAsia"/>
        </w:rPr>
        <w:t>7</w:t>
      </w:r>
      <w:r>
        <w:t>月</w:t>
      </w:r>
      <w:r>
        <w:rPr>
          <w:rFonts w:hint="eastAsia"/>
        </w:rPr>
        <w:t>15</w:t>
      </w:r>
      <w:r>
        <w:t>日</w:t>
      </w:r>
      <w:r>
        <w:rPr>
          <w:rFonts w:hint="eastAsia"/>
        </w:rPr>
        <w:t>（期末放假止）。</w:t>
      </w:r>
    </w:p>
    <w:p>
      <w:pPr>
        <w:pStyle w:val="6"/>
        <w:spacing w:before="0" w:beforeAutospacing="0" w:after="0" w:afterAutospacing="0"/>
      </w:pPr>
      <w:r>
        <w:t>项目公示日期：20</w:t>
      </w:r>
      <w:r>
        <w:rPr>
          <w:rFonts w:hint="eastAsia"/>
        </w:rPr>
        <w:t>23</w:t>
      </w:r>
      <w:r>
        <w:t>年</w:t>
      </w:r>
      <w:r>
        <w:rPr>
          <w:rFonts w:hint="eastAsia"/>
        </w:rPr>
        <w:t>2</w:t>
      </w:r>
      <w:r>
        <w:t>月</w:t>
      </w:r>
      <w:r>
        <w:rPr>
          <w:rFonts w:hint="eastAsia"/>
        </w:rPr>
        <w:t>3</w:t>
      </w:r>
      <w:r>
        <w:t>日起至20</w:t>
      </w:r>
      <w:r>
        <w:rPr>
          <w:rFonts w:hint="eastAsia"/>
        </w:rPr>
        <w:t>23</w:t>
      </w:r>
      <w:r>
        <w:t>年</w:t>
      </w:r>
      <w:r>
        <w:rPr>
          <w:rFonts w:hint="eastAsia"/>
        </w:rPr>
        <w:t>2</w:t>
      </w:r>
      <w:r>
        <w:t>月6日</w:t>
      </w:r>
      <w:r>
        <w:rPr>
          <w:rFonts w:hint="eastAsia"/>
        </w:rPr>
        <w:t>10:00止。</w:t>
      </w:r>
    </w:p>
    <w:p>
      <w:pPr>
        <w:pStyle w:val="6"/>
        <w:spacing w:before="0" w:beforeAutospacing="0" w:after="0" w:afterAutospacing="0"/>
      </w:pPr>
    </w:p>
    <w:p>
      <w:pPr>
        <w:pStyle w:val="6"/>
        <w:spacing w:before="0" w:beforeAutospacing="0" w:after="0" w:afterAutospacing="0"/>
      </w:pPr>
      <w:r>
        <w:rPr>
          <w:rStyle w:val="8"/>
        </w:rPr>
        <w:t>★ 报名资料 ★</w:t>
      </w:r>
    </w:p>
    <w:p>
      <w:pPr>
        <w:pStyle w:val="6"/>
        <w:spacing w:before="0" w:beforeAutospacing="0" w:after="0" w:afterAutospacing="0"/>
      </w:pPr>
    </w:p>
    <w:p>
      <w:pPr>
        <w:pStyle w:val="6"/>
        <w:spacing w:before="0" w:beforeAutospacing="0" w:after="0" w:afterAutospacing="0"/>
        <w:ind w:firstLine="480" w:firstLineChars="200"/>
      </w:pPr>
      <w:r>
        <w:rPr>
          <w:rFonts w:hint="eastAsia"/>
        </w:rPr>
        <w:t>1、</w:t>
      </w:r>
      <w:r>
        <w:t>行政主管部门颁发的深圳市企业营业执照，有效的食品经营许可证，主体业态范围须有集体用餐配送的资质（提供相关证明复印件，原件备查）</w:t>
      </w:r>
      <w:r>
        <w:rPr>
          <w:rFonts w:hint="eastAsia"/>
        </w:rPr>
        <w:t>。</w:t>
      </w:r>
    </w:p>
    <w:p>
      <w:pPr>
        <w:pStyle w:val="6"/>
        <w:spacing w:before="0" w:beforeAutospacing="0" w:after="0" w:afterAutospacing="0"/>
        <w:ind w:firstLine="472" w:firstLineChars="196"/>
      </w:pPr>
      <w:r>
        <w:rPr>
          <w:rStyle w:val="8"/>
          <w:rFonts w:hint="eastAsia"/>
        </w:rPr>
        <w:t>2、</w:t>
      </w:r>
      <w:r>
        <w:t>公司法人代表证明书及具有法人签名或盖章的被委托人有效授权书，被委托人身份证复印件。</w:t>
      </w:r>
    </w:p>
    <w:p>
      <w:pPr>
        <w:pStyle w:val="6"/>
        <w:spacing w:before="0" w:beforeAutospacing="0" w:after="0" w:afterAutospacing="0"/>
        <w:ind w:firstLine="472" w:firstLineChars="196"/>
      </w:pPr>
      <w:r>
        <w:rPr>
          <w:rStyle w:val="8"/>
          <w:rFonts w:hint="eastAsia"/>
        </w:rPr>
        <w:t>3、</w:t>
      </w:r>
      <w:r>
        <w:t>近三年内（即至少从20</w:t>
      </w:r>
      <w:r>
        <w:rPr>
          <w:rFonts w:hint="eastAsia"/>
        </w:rPr>
        <w:t>19</w:t>
      </w:r>
      <w:r>
        <w:t>年1月开始起算，供应商成立不足三年的可从成立之日起算）在经营活动中没有重大违法记录（须供应商做出相关承诺）</w:t>
      </w:r>
      <w:r>
        <w:rPr>
          <w:rFonts w:hint="eastAsia"/>
        </w:rPr>
        <w:t>。</w:t>
      </w:r>
    </w:p>
    <w:p>
      <w:pPr>
        <w:pStyle w:val="6"/>
        <w:spacing w:before="0" w:beforeAutospacing="0" w:after="0" w:afterAutospacing="0"/>
        <w:ind w:firstLine="480" w:firstLineChars="200"/>
      </w:pPr>
      <w:r>
        <w:rPr>
          <w:rFonts w:hint="eastAsia"/>
        </w:rPr>
        <w:t>4、</w:t>
      </w:r>
      <w:r>
        <w:t>提供商品权威有效的质量检测报告</w:t>
      </w:r>
      <w:r>
        <w:rPr>
          <w:rFonts w:hint="eastAsia"/>
        </w:rPr>
        <w:t>。</w:t>
      </w:r>
    </w:p>
    <w:p>
      <w:pPr>
        <w:pStyle w:val="6"/>
        <w:spacing w:before="0" w:beforeAutospacing="0" w:after="0" w:afterAutospacing="0"/>
        <w:ind w:firstLine="480" w:firstLineChars="200"/>
      </w:pPr>
      <w:r>
        <w:rPr>
          <w:rFonts w:hint="eastAsia"/>
        </w:rPr>
        <w:t>5、</w:t>
      </w:r>
      <w:r>
        <w:t>同类项目或近两年使用证明材料复印件</w:t>
      </w:r>
      <w:r>
        <w:rPr>
          <w:rFonts w:hint="eastAsia"/>
        </w:rPr>
        <w:t>。</w:t>
      </w:r>
    </w:p>
    <w:p>
      <w:pPr>
        <w:pStyle w:val="6"/>
        <w:spacing w:before="0" w:beforeAutospacing="0" w:after="0" w:afterAutospacing="0"/>
        <w:ind w:firstLine="472" w:firstLineChars="196"/>
      </w:pPr>
      <w:r>
        <w:rPr>
          <w:rStyle w:val="8"/>
          <w:rFonts w:hint="eastAsia"/>
        </w:rPr>
        <w:t>6、</w:t>
      </w:r>
      <w:r>
        <w:t>项目投标书（服务方案）</w:t>
      </w:r>
      <w:r>
        <w:rPr>
          <w:rFonts w:hint="eastAsia"/>
        </w:rPr>
        <w:t>。</w:t>
      </w:r>
    </w:p>
    <w:p>
      <w:pPr>
        <w:pStyle w:val="6"/>
        <w:spacing w:before="0" w:beforeAutospacing="0" w:after="0" w:afterAutospacing="0"/>
        <w:ind w:firstLine="472" w:firstLineChars="196"/>
      </w:pPr>
      <w:r>
        <w:rPr>
          <w:rStyle w:val="8"/>
          <w:rFonts w:hint="eastAsia"/>
        </w:rPr>
        <w:t>7、</w:t>
      </w:r>
      <w:r>
        <w:rPr>
          <w:rFonts w:hint="eastAsia"/>
        </w:rPr>
        <w:t>相关</w:t>
      </w:r>
      <w:r>
        <w:t>诚信网上的诚信记录</w:t>
      </w:r>
      <w:r>
        <w:rPr>
          <w:rFonts w:hint="eastAsia"/>
        </w:rPr>
        <w:t>。</w:t>
      </w:r>
    </w:p>
    <w:p>
      <w:pPr>
        <w:pStyle w:val="6"/>
        <w:spacing w:before="0" w:beforeAutospacing="0" w:after="0" w:afterAutospacing="0"/>
      </w:pPr>
      <w:r>
        <w:rPr>
          <w:rStyle w:val="8"/>
        </w:rPr>
        <w:t>以上资料请按顺序排列并装订成册</w:t>
      </w:r>
      <w:r>
        <w:rPr>
          <w:rStyle w:val="8"/>
          <w:rFonts w:hint="eastAsia"/>
        </w:rPr>
        <w:t>，报名时间截止前送3份投标书到学校（拒接快递，必须派代表送达）。</w:t>
      </w:r>
    </w:p>
    <w:p>
      <w:pPr>
        <w:pStyle w:val="6"/>
        <w:spacing w:before="0" w:beforeAutospacing="0" w:after="0" w:afterAutospacing="0"/>
      </w:pPr>
    </w:p>
    <w:p>
      <w:pPr>
        <w:pStyle w:val="6"/>
        <w:spacing w:before="0" w:beforeAutospacing="0" w:after="0" w:afterAutospacing="0"/>
      </w:pPr>
      <w:r>
        <w:rPr>
          <w:rStyle w:val="8"/>
        </w:rPr>
        <w:t>★ 报名</w:t>
      </w:r>
      <w:r>
        <w:rPr>
          <w:rStyle w:val="8"/>
          <w:rFonts w:hint="eastAsia"/>
        </w:rPr>
        <w:t>送投标文件</w:t>
      </w:r>
      <w:r>
        <w:rPr>
          <w:rStyle w:val="8"/>
        </w:rPr>
        <w:t>时间、地点及联系人</w:t>
      </w:r>
      <w:r>
        <w:rPr>
          <w:rStyle w:val="8"/>
          <w:rFonts w:hint="eastAsia"/>
        </w:rPr>
        <w:t>（在门卫室的报名表上签署相关信息）</w:t>
      </w:r>
      <w:r>
        <w:rPr>
          <w:rStyle w:val="8"/>
        </w:rPr>
        <w:t>★</w:t>
      </w:r>
    </w:p>
    <w:p>
      <w:pPr>
        <w:pStyle w:val="6"/>
        <w:spacing w:before="0" w:beforeAutospacing="0" w:after="0" w:afterAutospacing="0"/>
      </w:pPr>
      <w:r>
        <w:t>时间：</w:t>
      </w:r>
    </w:p>
    <w:p>
      <w:pPr>
        <w:pStyle w:val="6"/>
        <w:spacing w:before="0" w:beforeAutospacing="0" w:after="0" w:afterAutospacing="0"/>
      </w:pPr>
      <w:r>
        <w:rPr>
          <w:rStyle w:val="8"/>
          <w:u w:val="single"/>
        </w:rPr>
        <w:t>20</w:t>
      </w:r>
      <w:r>
        <w:rPr>
          <w:rStyle w:val="8"/>
          <w:rFonts w:hint="eastAsia"/>
          <w:u w:val="single"/>
        </w:rPr>
        <w:t>23</w:t>
      </w:r>
      <w:r>
        <w:rPr>
          <w:rStyle w:val="8"/>
          <w:u w:val="single"/>
        </w:rPr>
        <w:t>年</w:t>
      </w:r>
      <w:r>
        <w:rPr>
          <w:rStyle w:val="8"/>
          <w:rFonts w:hint="eastAsia"/>
          <w:u w:val="single"/>
        </w:rPr>
        <w:t>2</w:t>
      </w:r>
      <w:r>
        <w:rPr>
          <w:rStyle w:val="8"/>
          <w:u w:val="single"/>
        </w:rPr>
        <w:t>月</w:t>
      </w:r>
      <w:r>
        <w:rPr>
          <w:rStyle w:val="8"/>
          <w:rFonts w:hint="eastAsia"/>
          <w:u w:val="single"/>
        </w:rPr>
        <w:t>3</w:t>
      </w:r>
      <w:r>
        <w:rPr>
          <w:rStyle w:val="8"/>
          <w:u w:val="single"/>
        </w:rPr>
        <w:t>日至</w:t>
      </w:r>
      <w:r>
        <w:rPr>
          <w:rStyle w:val="8"/>
          <w:rFonts w:hint="eastAsia"/>
          <w:u w:val="single"/>
        </w:rPr>
        <w:t>2</w:t>
      </w:r>
      <w:r>
        <w:rPr>
          <w:rStyle w:val="8"/>
          <w:u w:val="single"/>
        </w:rPr>
        <w:t>月6日</w:t>
      </w:r>
      <w:r>
        <w:rPr>
          <w:rStyle w:val="8"/>
          <w:rFonts w:hint="eastAsia"/>
          <w:u w:val="single"/>
        </w:rPr>
        <w:t>上</w:t>
      </w:r>
      <w:r>
        <w:rPr>
          <w:rStyle w:val="8"/>
          <w:u w:val="single"/>
        </w:rPr>
        <w:t>午1</w:t>
      </w:r>
      <w:r>
        <w:rPr>
          <w:rStyle w:val="8"/>
          <w:rFonts w:hint="eastAsia"/>
          <w:u w:val="single"/>
        </w:rPr>
        <w:t>0</w:t>
      </w:r>
      <w:r>
        <w:rPr>
          <w:rStyle w:val="8"/>
          <w:u w:val="single"/>
        </w:rPr>
        <w:t>:00止</w:t>
      </w:r>
    </w:p>
    <w:p>
      <w:pPr>
        <w:pStyle w:val="6"/>
        <w:spacing w:before="0" w:beforeAutospacing="0" w:after="0" w:afterAutospacing="0"/>
      </w:pPr>
      <w:r>
        <w:t>地点：</w:t>
      </w:r>
    </w:p>
    <w:p>
      <w:pPr>
        <w:pStyle w:val="6"/>
        <w:spacing w:before="0" w:beforeAutospacing="0" w:after="0" w:afterAutospacing="0"/>
      </w:pPr>
      <w:r>
        <w:rPr>
          <w:rStyle w:val="8"/>
          <w:u w:val="single"/>
        </w:rPr>
        <w:t>深圳市</w:t>
      </w:r>
      <w:r>
        <w:rPr>
          <w:rStyle w:val="8"/>
          <w:rFonts w:hint="eastAsia"/>
          <w:u w:val="single"/>
        </w:rPr>
        <w:t>罗湖区人民南路2031号深圳市罗湖小学门卫室</w:t>
      </w:r>
    </w:p>
    <w:p>
      <w:pPr>
        <w:pStyle w:val="6"/>
        <w:spacing w:before="0" w:beforeAutospacing="0" w:after="0" w:afterAutospacing="0"/>
      </w:pPr>
      <w:r>
        <w:t>接收人：</w:t>
      </w:r>
    </w:p>
    <w:p>
      <w:pPr>
        <w:pStyle w:val="6"/>
        <w:spacing w:before="0" w:beforeAutospacing="0" w:after="0" w:afterAutospacing="0"/>
      </w:pPr>
      <w:r>
        <w:rPr>
          <w:rStyle w:val="8"/>
          <w:rFonts w:hint="eastAsia"/>
          <w:u w:val="single"/>
        </w:rPr>
        <w:t>邹</w:t>
      </w:r>
      <w:r>
        <w:rPr>
          <w:rStyle w:val="8"/>
          <w:u w:val="single"/>
        </w:rPr>
        <w:t>老师</w:t>
      </w:r>
    </w:p>
    <w:p>
      <w:pPr>
        <w:pStyle w:val="6"/>
        <w:spacing w:before="0" w:beforeAutospacing="0" w:after="0" w:afterAutospacing="0"/>
      </w:pPr>
      <w:r>
        <w:t>联系电话：</w:t>
      </w:r>
    </w:p>
    <w:p>
      <w:pPr>
        <w:pStyle w:val="6"/>
        <w:spacing w:before="0" w:beforeAutospacing="0" w:after="0" w:afterAutospacing="0"/>
      </w:pPr>
      <w:r>
        <w:rPr>
          <w:rStyle w:val="8"/>
          <w:rFonts w:hint="eastAsia"/>
          <w:u w:val="single"/>
        </w:rPr>
        <w:t>0755-82352189</w:t>
      </w:r>
    </w:p>
    <w:p>
      <w:pPr>
        <w:pStyle w:val="6"/>
        <w:spacing w:before="0" w:beforeAutospacing="0" w:after="0" w:afterAutospacing="0"/>
      </w:pPr>
    </w:p>
    <w:p>
      <w:pPr>
        <w:pStyle w:val="6"/>
        <w:spacing w:before="0" w:beforeAutospacing="0" w:after="0" w:afterAutospacing="0"/>
      </w:pPr>
      <w:r>
        <w:rPr>
          <w:rStyle w:val="8"/>
        </w:rPr>
        <w:t>★ 开标时间及地点 ★</w:t>
      </w:r>
    </w:p>
    <w:p>
      <w:pPr>
        <w:pStyle w:val="6"/>
        <w:spacing w:before="0" w:beforeAutospacing="0" w:after="0" w:afterAutospacing="0"/>
      </w:pPr>
      <w:r>
        <w:t>时间：</w:t>
      </w:r>
    </w:p>
    <w:p>
      <w:pPr>
        <w:pStyle w:val="6"/>
        <w:spacing w:before="0" w:beforeAutospacing="0" w:after="0" w:afterAutospacing="0"/>
      </w:pPr>
      <w:r>
        <w:rPr>
          <w:rStyle w:val="8"/>
          <w:u w:val="single"/>
        </w:rPr>
        <w:t>20</w:t>
      </w:r>
      <w:r>
        <w:rPr>
          <w:rStyle w:val="8"/>
          <w:rFonts w:hint="eastAsia"/>
          <w:u w:val="single"/>
        </w:rPr>
        <w:t>23</w:t>
      </w:r>
      <w:r>
        <w:rPr>
          <w:rStyle w:val="8"/>
          <w:u w:val="single"/>
        </w:rPr>
        <w:t>年</w:t>
      </w:r>
      <w:r>
        <w:rPr>
          <w:rStyle w:val="8"/>
          <w:rFonts w:hint="eastAsia"/>
          <w:u w:val="single"/>
        </w:rPr>
        <w:t>2</w:t>
      </w:r>
      <w:r>
        <w:rPr>
          <w:rStyle w:val="8"/>
          <w:u w:val="single"/>
        </w:rPr>
        <w:t>月6日</w:t>
      </w:r>
      <w:r>
        <w:rPr>
          <w:rFonts w:hint="eastAsia"/>
          <w:u w:val="single"/>
        </w:rPr>
        <w:t>上午</w:t>
      </w:r>
      <w:r>
        <w:rPr>
          <w:rStyle w:val="8"/>
          <w:rFonts w:hint="eastAsia"/>
          <w:u w:val="single"/>
        </w:rPr>
        <w:t>10</w:t>
      </w:r>
      <w:r>
        <w:rPr>
          <w:rStyle w:val="8"/>
          <w:u w:val="single"/>
        </w:rPr>
        <w:t>：00（若有变化，另行通知）</w:t>
      </w:r>
    </w:p>
    <w:p>
      <w:pPr>
        <w:pStyle w:val="6"/>
        <w:spacing w:before="0" w:beforeAutospacing="0" w:after="0" w:afterAutospacing="0"/>
      </w:pPr>
      <w:r>
        <w:t>地点：</w:t>
      </w:r>
    </w:p>
    <w:p>
      <w:pPr>
        <w:pStyle w:val="6"/>
        <w:spacing w:before="0" w:beforeAutospacing="0" w:after="0" w:afterAutospacing="0"/>
      </w:pPr>
      <w:r>
        <w:rPr>
          <w:rStyle w:val="8"/>
          <w:rFonts w:hint="eastAsia"/>
          <w:u w:val="single"/>
        </w:rPr>
        <w:t>深圳市罗湖小学三楼会议</w:t>
      </w:r>
      <w:r>
        <w:rPr>
          <w:rStyle w:val="8"/>
          <w:u w:val="single"/>
        </w:rPr>
        <w:t>室</w:t>
      </w:r>
    </w:p>
    <w:p>
      <w:pPr>
        <w:pStyle w:val="6"/>
        <w:spacing w:before="0" w:beforeAutospacing="0" w:after="0" w:afterAutospacing="0"/>
      </w:pPr>
    </w:p>
    <w:p>
      <w:pPr>
        <w:pStyle w:val="6"/>
        <w:spacing w:before="0" w:beforeAutospacing="0" w:after="0" w:afterAutospacing="0"/>
      </w:pPr>
      <w:r>
        <w:rPr>
          <w:rStyle w:val="8"/>
          <w:color w:val="FFFFFF"/>
          <w:shd w:val="clear" w:color="auto" w:fill="D60A02"/>
        </w:rPr>
        <w:t>★</w:t>
      </w:r>
      <w:r>
        <w:rPr>
          <w:rStyle w:val="8"/>
        </w:rPr>
        <w:t>综合评分方法</w:t>
      </w:r>
      <w:r>
        <w:rPr>
          <w:rStyle w:val="8"/>
          <w:color w:val="FFFFFF"/>
          <w:shd w:val="clear" w:color="auto" w:fill="D60A02"/>
        </w:rPr>
        <w:t>★</w:t>
      </w:r>
    </w:p>
    <w:p>
      <w:pPr>
        <w:pStyle w:val="6"/>
        <w:spacing w:before="0" w:beforeAutospacing="0" w:after="0" w:afterAutospacing="0"/>
      </w:pPr>
      <w:r>
        <w:t>（1）资格初审</w:t>
      </w:r>
    </w:p>
    <w:p>
      <w:pPr>
        <w:pStyle w:val="6"/>
        <w:spacing w:before="0" w:beforeAutospacing="0" w:after="0" w:afterAutospacing="0"/>
        <w:ind w:firstLine="480" w:firstLineChars="200"/>
      </w:pPr>
      <w:r>
        <w:t>在不少于3家（含3家）及以上公司响应且通过招标文件初审，以综合评分标准对投标人的每一项指标进行复合型审查、核对并汇总比较，通过初审的公司皆入围。</w:t>
      </w:r>
    </w:p>
    <w:p>
      <w:pPr>
        <w:pStyle w:val="6"/>
        <w:spacing w:before="0" w:beforeAutospacing="0" w:after="0" w:afterAutospacing="0"/>
      </w:pPr>
      <w:r>
        <w:t>（2）评定标规则：综合评定法(得分由高到低，实行评定分离)</w:t>
      </w:r>
    </w:p>
    <w:p>
      <w:pPr>
        <w:pStyle w:val="6"/>
        <w:spacing w:before="0" w:beforeAutospacing="0" w:after="0" w:afterAutospacing="0"/>
        <w:ind w:firstLine="480" w:firstLineChars="200"/>
      </w:pPr>
      <w:r>
        <w:t>本次招标将遵循公平、公正和诚实信用的原则，由</w:t>
      </w:r>
      <w:r>
        <w:rPr>
          <w:rFonts w:hint="eastAsia"/>
        </w:rPr>
        <w:t>学生</w:t>
      </w:r>
      <w:r>
        <w:t>校内午餐午休专项工作委员会根据投标方的资质、配餐能力、品质、价格、配送设备、安全保障措施等综合因素量化打分：  </w:t>
      </w:r>
    </w:p>
    <w:p>
      <w:pPr>
        <w:pStyle w:val="6"/>
        <w:spacing w:before="0" w:beforeAutospacing="0" w:after="0" w:afterAutospacing="0"/>
      </w:pPr>
      <w:r>
        <w:t>1.配餐企业资质（20分）</w:t>
      </w:r>
    </w:p>
    <w:p>
      <w:pPr>
        <w:pStyle w:val="6"/>
        <w:spacing w:before="0" w:beforeAutospacing="0" w:after="0" w:afterAutospacing="0"/>
      </w:pPr>
      <w:r>
        <w:t>2.经营项目饭盒制售单班限生产份数（10分）</w:t>
      </w:r>
    </w:p>
    <w:p>
      <w:pPr>
        <w:pStyle w:val="6"/>
        <w:spacing w:before="0" w:beforeAutospacing="0" w:after="0" w:afterAutospacing="0"/>
      </w:pPr>
      <w:r>
        <w:t>3.配送中心场所面积（10分）</w:t>
      </w:r>
    </w:p>
    <w:p>
      <w:pPr>
        <w:pStyle w:val="6"/>
        <w:spacing w:before="0" w:beforeAutospacing="0" w:after="0" w:afterAutospacing="0"/>
      </w:pPr>
      <w:r>
        <w:t>4.餐饮营养</w:t>
      </w:r>
      <w:r>
        <w:rPr>
          <w:rFonts w:hint="eastAsia"/>
        </w:rPr>
        <w:t>师</w:t>
      </w:r>
      <w:r>
        <w:t>配置情况（15分）</w:t>
      </w:r>
    </w:p>
    <w:p>
      <w:pPr>
        <w:pStyle w:val="6"/>
        <w:spacing w:before="0" w:beforeAutospacing="0" w:after="0" w:afterAutospacing="0"/>
      </w:pPr>
      <w:r>
        <w:t>5.质量保证方案（15分）</w:t>
      </w:r>
    </w:p>
    <w:p>
      <w:pPr>
        <w:pStyle w:val="6"/>
        <w:spacing w:before="0" w:beforeAutospacing="0" w:after="0" w:afterAutospacing="0"/>
      </w:pPr>
      <w:r>
        <w:t>6.安全保障措施方案（10分）</w:t>
      </w:r>
    </w:p>
    <w:p>
      <w:pPr>
        <w:pStyle w:val="6"/>
        <w:spacing w:before="0" w:beforeAutospacing="0" w:after="0" w:afterAutospacing="0"/>
      </w:pPr>
      <w:r>
        <w:t>7.配送服务方案（10分）</w:t>
      </w:r>
    </w:p>
    <w:p>
      <w:pPr>
        <w:pStyle w:val="6"/>
        <w:spacing w:before="0" w:beforeAutospacing="0" w:after="0" w:afterAutospacing="0"/>
      </w:pPr>
      <w:r>
        <w:t>8.其他具备资质认证（5分）</w:t>
      </w:r>
    </w:p>
    <w:p>
      <w:pPr>
        <w:pStyle w:val="6"/>
        <w:spacing w:before="0" w:beforeAutospacing="0" w:after="0" w:afterAutospacing="0"/>
      </w:pPr>
      <w:r>
        <w:t>9.配餐企业学校校外配餐成功案例（5分）</w:t>
      </w:r>
    </w:p>
    <w:p>
      <w:pPr>
        <w:pStyle w:val="6"/>
        <w:spacing w:before="0" w:beforeAutospacing="0" w:after="0" w:afterAutospacing="0"/>
      </w:pPr>
      <w:r>
        <w:rPr>
          <w:rStyle w:val="8"/>
          <w:color w:val="FFFFFF"/>
          <w:shd w:val="clear" w:color="auto" w:fill="D60A02"/>
        </w:rPr>
        <w:t>★</w:t>
      </w:r>
      <w:r>
        <w:rPr>
          <w:rStyle w:val="8"/>
        </w:rPr>
        <w:t>招标流程</w:t>
      </w:r>
      <w:r>
        <w:rPr>
          <w:rStyle w:val="8"/>
          <w:color w:val="FFFFFF"/>
          <w:shd w:val="clear" w:color="auto" w:fill="D60A02"/>
        </w:rPr>
        <w:t>★</w:t>
      </w:r>
    </w:p>
    <w:p>
      <w:pPr>
        <w:pStyle w:val="6"/>
        <w:spacing w:before="0" w:beforeAutospacing="0" w:after="0" w:afterAutospacing="0"/>
      </w:pPr>
      <w:r>
        <w:rPr>
          <w:rStyle w:val="8"/>
          <w:u w:val="single"/>
        </w:rPr>
        <w:t>第一轮：评分</w:t>
      </w:r>
    </w:p>
    <w:p>
      <w:pPr>
        <w:pStyle w:val="6"/>
        <w:spacing w:before="0" w:beforeAutospacing="0" w:after="0" w:afterAutospacing="0"/>
        <w:ind w:firstLine="480" w:firstLineChars="200"/>
      </w:pPr>
      <w:r>
        <w:t>对投</w:t>
      </w:r>
      <w:r>
        <w:rPr>
          <w:rFonts w:hint="eastAsia"/>
        </w:rPr>
        <w:t>标</w:t>
      </w:r>
      <w:r>
        <w:t>配餐企业资料进行评分，分数从高到低选取不少于3家配餐企业，公示</w:t>
      </w:r>
      <w:r>
        <w:rPr>
          <w:rFonts w:hint="eastAsia"/>
        </w:rPr>
        <w:t>3</w:t>
      </w:r>
      <w:r>
        <w:t>天</w:t>
      </w:r>
      <w:r>
        <w:rPr>
          <w:rFonts w:hint="eastAsia"/>
        </w:rPr>
        <w:t>（</w:t>
      </w:r>
      <w:r>
        <w:rPr>
          <w:u w:val="single"/>
        </w:rPr>
        <w:t>20</w:t>
      </w:r>
      <w:r>
        <w:rPr>
          <w:rFonts w:hint="eastAsia"/>
          <w:u w:val="single"/>
        </w:rPr>
        <w:t>23</w:t>
      </w:r>
      <w:r>
        <w:rPr>
          <w:u w:val="single"/>
        </w:rPr>
        <w:t>年</w:t>
      </w:r>
      <w:r>
        <w:rPr>
          <w:rFonts w:hint="eastAsia"/>
          <w:u w:val="single"/>
        </w:rPr>
        <w:t>2</w:t>
      </w:r>
      <w:r>
        <w:rPr>
          <w:u w:val="single"/>
        </w:rPr>
        <w:t>月6日</w:t>
      </w:r>
      <w:r>
        <w:rPr>
          <w:rFonts w:hint="eastAsia"/>
          <w:u w:val="single"/>
        </w:rPr>
        <w:t>--</w:t>
      </w:r>
      <w:r>
        <w:rPr>
          <w:u w:val="single"/>
        </w:rPr>
        <w:t>9</w:t>
      </w:r>
      <w:r>
        <w:rPr>
          <w:rFonts w:hint="eastAsia"/>
          <w:u w:val="single"/>
        </w:rPr>
        <w:t>日</w:t>
      </w:r>
      <w:r>
        <w:rPr>
          <w:rFonts w:hint="eastAsia"/>
        </w:rPr>
        <w:t>）</w:t>
      </w:r>
      <w:r>
        <w:t>。</w:t>
      </w:r>
    </w:p>
    <w:p>
      <w:pPr>
        <w:pStyle w:val="6"/>
        <w:spacing w:before="0" w:beforeAutospacing="0" w:after="0" w:afterAutospacing="0"/>
      </w:pPr>
      <w:r>
        <w:rPr>
          <w:rFonts w:hint="eastAsia"/>
          <w:u w:val="single"/>
        </w:rPr>
        <w:t>评委开标书评标评分</w:t>
      </w:r>
      <w:r>
        <w:rPr>
          <w:u w:val="single"/>
        </w:rPr>
        <w:t>时间：</w:t>
      </w:r>
      <w:r>
        <w:rPr>
          <w:rStyle w:val="8"/>
          <w:u w:val="single"/>
        </w:rPr>
        <w:t>20</w:t>
      </w:r>
      <w:r>
        <w:rPr>
          <w:rStyle w:val="8"/>
          <w:rFonts w:hint="eastAsia"/>
          <w:u w:val="single"/>
        </w:rPr>
        <w:t>23</w:t>
      </w:r>
      <w:r>
        <w:rPr>
          <w:rStyle w:val="8"/>
          <w:u w:val="single"/>
        </w:rPr>
        <w:t>年</w:t>
      </w:r>
      <w:r>
        <w:rPr>
          <w:rStyle w:val="8"/>
          <w:rFonts w:hint="eastAsia"/>
          <w:u w:val="single"/>
        </w:rPr>
        <w:t>2</w:t>
      </w:r>
      <w:r>
        <w:rPr>
          <w:rStyle w:val="8"/>
          <w:u w:val="single"/>
        </w:rPr>
        <w:t>月6日</w:t>
      </w:r>
      <w:r>
        <w:rPr>
          <w:rFonts w:hint="eastAsia"/>
          <w:u w:val="single"/>
        </w:rPr>
        <w:t>上午</w:t>
      </w:r>
      <w:r>
        <w:rPr>
          <w:rStyle w:val="8"/>
          <w:rFonts w:hint="eastAsia"/>
          <w:u w:val="single"/>
        </w:rPr>
        <w:t>10</w:t>
      </w:r>
      <w:r>
        <w:rPr>
          <w:rStyle w:val="8"/>
          <w:u w:val="single"/>
        </w:rPr>
        <w:t>：00</w:t>
      </w:r>
      <w:r>
        <w:rPr>
          <w:rFonts w:hint="eastAsia"/>
          <w:u w:val="single"/>
        </w:rPr>
        <w:t xml:space="preserve"> </w:t>
      </w:r>
    </w:p>
    <w:p>
      <w:pPr>
        <w:pStyle w:val="6"/>
        <w:spacing w:before="0" w:beforeAutospacing="0" w:after="0" w:afterAutospacing="0"/>
      </w:pPr>
      <w:r>
        <w:rPr>
          <w:rStyle w:val="8"/>
          <w:u w:val="single"/>
        </w:rPr>
        <w:t>第二轮：考察</w:t>
      </w:r>
    </w:p>
    <w:p>
      <w:pPr>
        <w:pStyle w:val="6"/>
        <w:spacing w:before="0" w:beforeAutospacing="0" w:after="0" w:afterAutospacing="0"/>
        <w:ind w:firstLine="480" w:firstLineChars="200"/>
      </w:pPr>
      <w:r>
        <w:rPr>
          <w:rFonts w:hint="eastAsia"/>
        </w:rPr>
        <w:t>学校将根据周边兄弟学校学生午餐供餐配送单位运营实际情况、投标单位配餐车间的离校距离及家委了解的市场情况决定是否</w:t>
      </w:r>
      <w:r>
        <w:t>对入围配餐企业进行现场实地考察</w:t>
      </w:r>
      <w:r>
        <w:rPr>
          <w:rFonts w:hint="eastAsia"/>
        </w:rPr>
        <w:t>。</w:t>
      </w:r>
    </w:p>
    <w:p>
      <w:pPr>
        <w:pStyle w:val="6"/>
        <w:spacing w:before="0" w:beforeAutospacing="0" w:after="0" w:afterAutospacing="0"/>
      </w:pPr>
      <w:r>
        <w:rPr>
          <w:u w:val="single"/>
        </w:rPr>
        <w:t>时间：20</w:t>
      </w:r>
      <w:r>
        <w:rPr>
          <w:rFonts w:hint="eastAsia"/>
          <w:u w:val="single"/>
        </w:rPr>
        <w:t>23</w:t>
      </w:r>
      <w:r>
        <w:rPr>
          <w:u w:val="single"/>
        </w:rPr>
        <w:t>年</w:t>
      </w:r>
      <w:r>
        <w:rPr>
          <w:rFonts w:hint="eastAsia"/>
          <w:u w:val="single"/>
        </w:rPr>
        <w:t>2</w:t>
      </w:r>
      <w:r>
        <w:rPr>
          <w:u w:val="single"/>
        </w:rPr>
        <w:t>月6日</w:t>
      </w:r>
      <w:r>
        <w:rPr>
          <w:rFonts w:hint="eastAsia"/>
          <w:u w:val="single"/>
        </w:rPr>
        <w:t>下午开始</w:t>
      </w:r>
    </w:p>
    <w:p>
      <w:pPr>
        <w:pStyle w:val="6"/>
        <w:spacing w:before="0" w:beforeAutospacing="0" w:after="0" w:afterAutospacing="0"/>
      </w:pPr>
      <w:r>
        <w:rPr>
          <w:rStyle w:val="8"/>
          <w:u w:val="single"/>
        </w:rPr>
        <w:t>第三轮：投票表决</w:t>
      </w:r>
    </w:p>
    <w:p>
      <w:pPr>
        <w:pStyle w:val="6"/>
        <w:spacing w:before="0" w:beforeAutospacing="0" w:after="0" w:afterAutospacing="0"/>
        <w:ind w:firstLine="480" w:firstLineChars="200"/>
      </w:pPr>
      <w:r>
        <w:rPr>
          <w:rFonts w:hint="eastAsia"/>
        </w:rPr>
        <w:t>根据了解的实际情况</w:t>
      </w:r>
      <w:r>
        <w:t>对入围配餐企业进行投票表决，选定1家配餐企业作为学校的配餐供应商，公示</w:t>
      </w:r>
      <w:r>
        <w:rPr>
          <w:rFonts w:hint="eastAsia"/>
        </w:rPr>
        <w:t>3</w:t>
      </w:r>
      <w:r>
        <w:t>天</w:t>
      </w:r>
      <w:r>
        <w:rPr>
          <w:rFonts w:hint="eastAsia"/>
        </w:rPr>
        <w:t>（</w:t>
      </w:r>
      <w:r>
        <w:rPr>
          <w:u w:val="single"/>
        </w:rPr>
        <w:t>20</w:t>
      </w:r>
      <w:r>
        <w:rPr>
          <w:rFonts w:hint="eastAsia"/>
          <w:u w:val="single"/>
        </w:rPr>
        <w:t>23</w:t>
      </w:r>
      <w:r>
        <w:rPr>
          <w:u w:val="single"/>
        </w:rPr>
        <w:t>年</w:t>
      </w:r>
      <w:r>
        <w:rPr>
          <w:rFonts w:hint="eastAsia"/>
          <w:u w:val="single"/>
        </w:rPr>
        <w:t>2</w:t>
      </w:r>
      <w:r>
        <w:rPr>
          <w:u w:val="single"/>
        </w:rPr>
        <w:t>月9日</w:t>
      </w:r>
      <w:r>
        <w:rPr>
          <w:rFonts w:hint="eastAsia"/>
          <w:u w:val="single"/>
        </w:rPr>
        <w:t>--</w:t>
      </w:r>
      <w:r>
        <w:rPr>
          <w:u w:val="single"/>
        </w:rPr>
        <w:t>11</w:t>
      </w:r>
      <w:r>
        <w:rPr>
          <w:rFonts w:hint="eastAsia"/>
          <w:u w:val="single"/>
        </w:rPr>
        <w:t>日</w:t>
      </w:r>
      <w:r>
        <w:rPr>
          <w:rFonts w:hint="eastAsia"/>
        </w:rPr>
        <w:t>）</w:t>
      </w:r>
      <w:r>
        <w:t>。</w:t>
      </w:r>
    </w:p>
    <w:p>
      <w:pPr>
        <w:pStyle w:val="6"/>
        <w:spacing w:before="0" w:beforeAutospacing="0" w:after="0" w:afterAutospacing="0"/>
      </w:pPr>
      <w:r>
        <w:rPr>
          <w:rFonts w:hint="eastAsia"/>
          <w:u w:val="single"/>
        </w:rPr>
        <w:t>评委投票表决</w:t>
      </w:r>
      <w:r>
        <w:rPr>
          <w:u w:val="single"/>
        </w:rPr>
        <w:t>时间：20</w:t>
      </w:r>
      <w:r>
        <w:rPr>
          <w:rFonts w:hint="eastAsia"/>
          <w:u w:val="single"/>
        </w:rPr>
        <w:t>23</w:t>
      </w:r>
      <w:r>
        <w:rPr>
          <w:u w:val="single"/>
        </w:rPr>
        <w:t>年</w:t>
      </w:r>
      <w:r>
        <w:rPr>
          <w:rFonts w:hint="eastAsia"/>
          <w:u w:val="single"/>
        </w:rPr>
        <w:t>2</w:t>
      </w:r>
      <w:r>
        <w:rPr>
          <w:u w:val="single"/>
        </w:rPr>
        <w:t>月9日</w:t>
      </w:r>
      <w:r>
        <w:rPr>
          <w:rFonts w:hint="eastAsia"/>
          <w:u w:val="single"/>
        </w:rPr>
        <w:t>上午10:00</w:t>
      </w:r>
    </w:p>
    <w:p>
      <w:pPr>
        <w:pStyle w:val="6"/>
        <w:spacing w:before="0" w:beforeAutospacing="0" w:after="0" w:afterAutospacing="0"/>
      </w:pPr>
    </w:p>
    <w:p>
      <w:pPr>
        <w:pStyle w:val="6"/>
        <w:spacing w:before="0" w:beforeAutospacing="0" w:after="0" w:afterAutospacing="0"/>
      </w:pPr>
      <w:r>
        <w:rPr>
          <w:rFonts w:hint="eastAsia"/>
        </w:rPr>
        <w:t>注：评标小组人员由深圳市罗湖小学学生午餐午休管理工作领导小组成员（含家委会5位成员）等9人组成。</w:t>
      </w:r>
    </w:p>
    <w:p>
      <w:pPr>
        <w:pStyle w:val="6"/>
        <w:spacing w:before="0" w:beforeAutospacing="0" w:after="0" w:afterAutospacing="0"/>
      </w:pPr>
      <w:r>
        <w:rPr>
          <w:rFonts w:hint="eastAsia"/>
        </w:rPr>
        <w:t xml:space="preserve">                                         </w:t>
      </w:r>
    </w:p>
    <w:p>
      <w:pPr>
        <w:pStyle w:val="6"/>
        <w:spacing w:before="0" w:beforeAutospacing="0" w:after="0" w:afterAutospacing="0"/>
        <w:ind w:firstLine="5040" w:firstLineChars="2100"/>
      </w:pPr>
      <w:r>
        <w:rPr>
          <w:rFonts w:hint="eastAsia"/>
        </w:rPr>
        <w:t>深圳市罗湖小学</w:t>
      </w:r>
    </w:p>
    <w:p>
      <w:pPr>
        <w:pStyle w:val="6"/>
        <w:spacing w:before="0" w:beforeAutospacing="0" w:after="0" w:afterAutospacing="0"/>
      </w:pPr>
      <w:r>
        <w:rPr>
          <w:rFonts w:hint="eastAsia"/>
        </w:rPr>
        <w:t xml:space="preserve">                                         2023年2月3日</w:t>
      </w:r>
    </w:p>
    <w:p>
      <w:pPr>
        <w:pStyle w:val="6"/>
        <w:spacing w:before="0" w:beforeAutospacing="0" w:after="0" w:afterAutospacing="0"/>
      </w:pPr>
    </w:p>
    <w:p>
      <w:pPr>
        <w:pStyle w:val="6"/>
        <w:spacing w:before="0" w:beforeAutospacing="0" w:after="0" w:afterAutospacing="0"/>
        <w:ind w:firstLine="5040" w:firstLineChars="2100"/>
        <w:jc w:val="center"/>
      </w:pPr>
    </w:p>
    <w:p>
      <w:pPr>
        <w:pStyle w:val="6"/>
        <w:spacing w:before="0" w:beforeAutospacing="0" w:after="0" w:afterAutospacing="0"/>
        <w:ind w:firstLine="1843" w:firstLineChars="600"/>
        <w:jc w:val="both"/>
        <w:rPr>
          <w:rFonts w:ascii="仿宋_GB2312" w:hAnsi="Microsoft YaHei UI" w:eastAsia="仿宋_GB2312"/>
          <w:b/>
          <w:bCs/>
          <w:color w:val="000000"/>
          <w:spacing w:val="8"/>
          <w:sz w:val="29"/>
          <w:szCs w:val="29"/>
          <w:shd w:val="clear" w:color="auto" w:fill="FFFFFF"/>
        </w:rPr>
      </w:pPr>
      <w:r>
        <w:rPr>
          <w:rFonts w:hint="eastAsia" w:ascii="仿宋_GB2312" w:hAnsi="Microsoft YaHei UI" w:eastAsia="仿宋_GB2312"/>
          <w:b/>
          <w:bCs/>
          <w:color w:val="000000"/>
          <w:spacing w:val="8"/>
          <w:sz w:val="29"/>
          <w:szCs w:val="29"/>
          <w:shd w:val="clear" w:color="auto" w:fill="FFFFFF"/>
        </w:rPr>
        <w:t>深圳市罗湖小学学生校外配餐服务招标评分表</w:t>
      </w:r>
    </w:p>
    <w:tbl>
      <w:tblPr>
        <w:tblStyle w:val="9"/>
        <w:tblW w:w="9810" w:type="dxa"/>
        <w:jc w:val="center"/>
        <w:tblInd w:w="0" w:type="dxa"/>
        <w:shd w:val="clear" w:color="auto" w:fill="FFFFFF"/>
        <w:tblLayout w:type="fixed"/>
        <w:tblCellMar>
          <w:top w:w="0" w:type="dxa"/>
          <w:left w:w="0" w:type="dxa"/>
          <w:bottom w:w="0" w:type="dxa"/>
          <w:right w:w="0" w:type="dxa"/>
        </w:tblCellMar>
      </w:tblPr>
      <w:tblGrid>
        <w:gridCol w:w="590"/>
        <w:gridCol w:w="971"/>
        <w:gridCol w:w="2915"/>
        <w:gridCol w:w="3647"/>
        <w:gridCol w:w="700"/>
        <w:gridCol w:w="987"/>
      </w:tblGrid>
      <w:tr>
        <w:tblPrEx>
          <w:shd w:val="clear" w:color="auto" w:fill="FFFFFF"/>
          <w:tblLayout w:type="fixed"/>
          <w:tblCellMar>
            <w:top w:w="0" w:type="dxa"/>
            <w:left w:w="0" w:type="dxa"/>
            <w:bottom w:w="0" w:type="dxa"/>
            <w:right w:w="0" w:type="dxa"/>
          </w:tblCellMar>
        </w:tblPrEx>
        <w:trPr>
          <w:trHeight w:val="435" w:hRule="atLeast"/>
          <w:jc w:val="center"/>
        </w:trPr>
        <w:tc>
          <w:tcPr>
            <w:tcW w:w="9810" w:type="dxa"/>
            <w:gridSpan w:val="6"/>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widowControl/>
              <w:rPr>
                <w:rFonts w:ascii="Microsoft YaHei UI" w:hAnsi="Microsoft YaHei UI" w:eastAsia="Microsoft YaHei UI" w:cs="宋体"/>
                <w:color w:val="000000"/>
                <w:spacing w:val="8"/>
                <w:kern w:val="0"/>
                <w:sz w:val="26"/>
                <w:szCs w:val="26"/>
              </w:rPr>
            </w:pPr>
            <w:r>
              <w:rPr>
                <w:rFonts w:hint="eastAsia" w:ascii="仿宋_GB2312" w:hAnsi="Microsoft YaHei UI" w:eastAsia="仿宋_GB2312" w:cs="宋体"/>
                <w:color w:val="000000"/>
                <w:spacing w:val="8"/>
                <w:kern w:val="0"/>
                <w:szCs w:val="21"/>
              </w:rPr>
              <w:t>企业选用配送方式（相应地方打√）：□ 冷链  □ 热链</w:t>
            </w:r>
          </w:p>
        </w:tc>
      </w:tr>
      <w:tr>
        <w:tblPrEx>
          <w:tblLayout w:type="fixed"/>
          <w:tblCellMar>
            <w:top w:w="0" w:type="dxa"/>
            <w:left w:w="0" w:type="dxa"/>
            <w:bottom w:w="0" w:type="dxa"/>
            <w:right w:w="0" w:type="dxa"/>
          </w:tblCellMar>
        </w:tblPrEx>
        <w:trPr>
          <w:trHeight w:val="435" w:hRule="atLeast"/>
          <w:jc w:val="center"/>
        </w:trPr>
        <w:tc>
          <w:tcPr>
            <w:tcW w:w="59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Microsoft YaHei UI" w:hAnsi="Microsoft YaHei UI" w:eastAsia="Microsoft YaHei UI" w:cs="宋体"/>
                <w:color w:val="000000"/>
                <w:spacing w:val="8"/>
                <w:kern w:val="0"/>
                <w:sz w:val="26"/>
                <w:szCs w:val="26"/>
              </w:rPr>
            </w:pPr>
            <w:r>
              <w:rPr>
                <w:rFonts w:hint="eastAsia" w:ascii="仿宋_GB2312" w:hAnsi="Microsoft YaHei UI" w:eastAsia="仿宋_GB2312" w:cs="宋体"/>
                <w:b/>
                <w:bCs/>
                <w:color w:val="000000"/>
                <w:spacing w:val="8"/>
                <w:kern w:val="0"/>
                <w:szCs w:val="21"/>
              </w:rPr>
              <w:t>序号</w:t>
            </w:r>
          </w:p>
        </w:tc>
        <w:tc>
          <w:tcPr>
            <w:tcW w:w="9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Microsoft YaHei UI" w:hAnsi="Microsoft YaHei UI" w:eastAsia="Microsoft YaHei UI" w:cs="宋体"/>
                <w:color w:val="000000"/>
                <w:spacing w:val="8"/>
                <w:kern w:val="0"/>
                <w:sz w:val="26"/>
                <w:szCs w:val="26"/>
              </w:rPr>
            </w:pPr>
            <w:r>
              <w:rPr>
                <w:rFonts w:hint="eastAsia" w:ascii="仿宋_GB2312" w:hAnsi="Microsoft YaHei UI" w:eastAsia="仿宋_GB2312" w:cs="宋体"/>
                <w:b/>
                <w:bCs/>
                <w:color w:val="000000"/>
                <w:spacing w:val="8"/>
                <w:kern w:val="0"/>
                <w:szCs w:val="21"/>
              </w:rPr>
              <w:t>评分因素</w:t>
            </w:r>
          </w:p>
        </w:tc>
        <w:tc>
          <w:tcPr>
            <w:tcW w:w="29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Microsoft YaHei UI" w:hAnsi="Microsoft YaHei UI" w:eastAsia="Microsoft YaHei UI" w:cs="宋体"/>
                <w:color w:val="000000"/>
                <w:spacing w:val="8"/>
                <w:kern w:val="0"/>
                <w:sz w:val="26"/>
                <w:szCs w:val="26"/>
              </w:rPr>
            </w:pPr>
            <w:r>
              <w:rPr>
                <w:rFonts w:hint="eastAsia" w:ascii="仿宋_GB2312" w:hAnsi="Microsoft YaHei UI" w:eastAsia="仿宋_GB2312" w:cs="宋体"/>
                <w:b/>
                <w:bCs/>
                <w:color w:val="000000"/>
                <w:spacing w:val="8"/>
                <w:kern w:val="0"/>
                <w:szCs w:val="21"/>
              </w:rPr>
              <w:t>提供资料</w:t>
            </w:r>
          </w:p>
        </w:tc>
        <w:tc>
          <w:tcPr>
            <w:tcW w:w="364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Microsoft YaHei UI" w:hAnsi="Microsoft YaHei UI" w:eastAsia="Microsoft YaHei UI" w:cs="宋体"/>
                <w:color w:val="000000"/>
                <w:spacing w:val="8"/>
                <w:kern w:val="0"/>
                <w:sz w:val="26"/>
                <w:szCs w:val="26"/>
              </w:rPr>
            </w:pPr>
            <w:r>
              <w:rPr>
                <w:rFonts w:hint="eastAsia" w:ascii="仿宋_GB2312" w:hAnsi="Microsoft YaHei UI" w:eastAsia="仿宋_GB2312" w:cs="宋体"/>
                <w:b/>
                <w:bCs/>
                <w:color w:val="000000"/>
                <w:spacing w:val="8"/>
                <w:kern w:val="0"/>
                <w:szCs w:val="21"/>
              </w:rPr>
              <w:t>评分细则</w:t>
            </w:r>
          </w:p>
        </w:tc>
        <w:tc>
          <w:tcPr>
            <w:tcW w:w="70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Microsoft YaHei UI" w:hAnsi="Microsoft YaHei UI" w:eastAsia="Microsoft YaHei UI" w:cs="宋体"/>
                <w:color w:val="000000"/>
                <w:spacing w:val="8"/>
                <w:kern w:val="0"/>
                <w:sz w:val="26"/>
                <w:szCs w:val="26"/>
              </w:rPr>
            </w:pPr>
            <w:r>
              <w:rPr>
                <w:rFonts w:hint="eastAsia" w:ascii="仿宋_GB2312" w:hAnsi="Microsoft YaHei UI" w:eastAsia="仿宋_GB2312" w:cs="宋体"/>
                <w:b/>
                <w:bCs/>
                <w:color w:val="000000"/>
                <w:spacing w:val="8"/>
                <w:kern w:val="0"/>
                <w:szCs w:val="21"/>
              </w:rPr>
              <w:t>分值</w:t>
            </w:r>
          </w:p>
        </w:tc>
        <w:tc>
          <w:tcPr>
            <w:tcW w:w="9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Microsoft YaHei UI" w:hAnsi="Microsoft YaHei UI" w:eastAsia="Microsoft YaHei UI" w:cs="宋体"/>
                <w:color w:val="000000"/>
                <w:spacing w:val="8"/>
                <w:kern w:val="0"/>
                <w:sz w:val="26"/>
                <w:szCs w:val="26"/>
              </w:rPr>
            </w:pPr>
            <w:r>
              <w:rPr>
                <w:rFonts w:hint="eastAsia" w:ascii="仿宋_GB2312" w:hAnsi="Microsoft YaHei UI" w:eastAsia="仿宋_GB2312" w:cs="宋体"/>
                <w:b/>
                <w:bCs/>
                <w:color w:val="000000"/>
                <w:spacing w:val="8"/>
                <w:kern w:val="0"/>
                <w:szCs w:val="21"/>
              </w:rPr>
              <w:t>得分</w:t>
            </w:r>
          </w:p>
        </w:tc>
      </w:tr>
      <w:tr>
        <w:tblPrEx>
          <w:tblLayout w:type="fixed"/>
          <w:tblCellMar>
            <w:top w:w="0" w:type="dxa"/>
            <w:left w:w="0" w:type="dxa"/>
            <w:bottom w:w="0" w:type="dxa"/>
            <w:right w:w="0" w:type="dxa"/>
          </w:tblCellMar>
        </w:tblPrEx>
        <w:trPr>
          <w:trHeight w:val="1485" w:hRule="atLeast"/>
          <w:jc w:val="center"/>
        </w:trPr>
        <w:tc>
          <w:tcPr>
            <w:tcW w:w="59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1</w:t>
            </w:r>
          </w:p>
        </w:tc>
        <w:tc>
          <w:tcPr>
            <w:tcW w:w="9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配餐企业资质</w:t>
            </w:r>
          </w:p>
        </w:tc>
        <w:tc>
          <w:tcPr>
            <w:tcW w:w="29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1、基础证件:营业执照、食品经营许可证(主体业态范围须有集体用餐配送资质)、食品生产许可证，食品安全量化等级达A级</w:t>
            </w:r>
          </w:p>
          <w:p>
            <w:r>
              <w:rPr>
                <w:rFonts w:hint="eastAsia"/>
              </w:rPr>
              <w:t>2、提供参保证明文件复印件加盖公章。</w:t>
            </w:r>
          </w:p>
        </w:tc>
        <w:tc>
          <w:tcPr>
            <w:tcW w:w="364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r>
              <w:rPr>
                <w:rFonts w:hint="eastAsia"/>
              </w:rPr>
              <w:t>1、根据投标人所提交的证件情况：</w:t>
            </w:r>
          </w:p>
          <w:p>
            <w:r>
              <w:rPr>
                <w:rFonts w:hint="eastAsia"/>
              </w:rPr>
              <w:t>A.全部有，得10分；</w:t>
            </w:r>
          </w:p>
          <w:p>
            <w:r>
              <w:rPr>
                <w:rFonts w:hint="eastAsia"/>
              </w:rPr>
              <w:t>B.缺一证及以上不得分；</w:t>
            </w:r>
          </w:p>
          <w:p>
            <w:r>
              <w:rPr>
                <w:rFonts w:hint="eastAsia"/>
              </w:rPr>
              <w:t>食品安全量化等级评定达到A级。</w:t>
            </w:r>
          </w:p>
          <w:p>
            <w:pPr>
              <w:rPr>
                <w:lang w:val="zh-CN"/>
              </w:rPr>
            </w:pPr>
            <w:r>
              <w:rPr>
                <w:rFonts w:hint="eastAsia"/>
              </w:rPr>
              <w:t>2、1.</w:t>
            </w:r>
            <w:r>
              <w:rPr>
                <w:rFonts w:hint="eastAsia"/>
                <w:lang w:val="zh-CN"/>
              </w:rPr>
              <w:t>评审标准：</w:t>
            </w:r>
          </w:p>
          <w:p>
            <w:pPr>
              <w:rPr>
                <w:lang w:val="zh-CN"/>
              </w:rPr>
            </w:pPr>
            <w:r>
              <w:rPr>
                <w:rFonts w:hint="eastAsia"/>
                <w:lang w:val="zh-CN"/>
              </w:rPr>
              <w:t>①投标人购买的有效期内的食品安全责任险年保额≥</w:t>
            </w:r>
            <w:r>
              <w:rPr>
                <w:rFonts w:hint="eastAsia"/>
              </w:rPr>
              <w:t>2</w:t>
            </w:r>
            <w:r>
              <w:rPr>
                <w:rFonts w:hint="eastAsia"/>
                <w:lang w:val="zh-CN"/>
              </w:rPr>
              <w:t>000万得</w:t>
            </w:r>
            <w:r>
              <w:rPr>
                <w:rFonts w:hint="eastAsia"/>
              </w:rPr>
              <w:t>10</w:t>
            </w:r>
            <w:r>
              <w:rPr>
                <w:rFonts w:hint="eastAsia"/>
                <w:lang w:val="zh-CN"/>
              </w:rPr>
              <w:t>分；</w:t>
            </w:r>
            <w:r>
              <w:rPr>
                <w:rFonts w:hint="eastAsia"/>
              </w:rPr>
              <w:t>1</w:t>
            </w:r>
            <w:r>
              <w:rPr>
                <w:rFonts w:hint="eastAsia"/>
                <w:lang w:val="zh-CN"/>
              </w:rPr>
              <w:t>000万≤投标人购买食品安全责任险保额＜</w:t>
            </w:r>
            <w:r>
              <w:rPr>
                <w:rFonts w:hint="eastAsia"/>
              </w:rPr>
              <w:t>2</w:t>
            </w:r>
            <w:r>
              <w:rPr>
                <w:rFonts w:hint="eastAsia"/>
                <w:lang w:val="zh-CN"/>
              </w:rPr>
              <w:t>000 万责任险得</w:t>
            </w:r>
            <w:r>
              <w:rPr>
                <w:rFonts w:hint="eastAsia"/>
              </w:rPr>
              <w:t>6</w:t>
            </w:r>
            <w:r>
              <w:rPr>
                <w:rFonts w:hint="eastAsia"/>
                <w:lang w:val="zh-CN"/>
              </w:rPr>
              <w:t>分;</w:t>
            </w:r>
            <w:r>
              <w:rPr>
                <w:rFonts w:hint="eastAsia"/>
              </w:rPr>
              <w:t>5</w:t>
            </w:r>
            <w:r>
              <w:rPr>
                <w:rFonts w:hint="eastAsia"/>
                <w:lang w:val="zh-CN"/>
              </w:rPr>
              <w:t>00万≤投标人购买食品安全责任险保额＜</w:t>
            </w:r>
            <w:r>
              <w:rPr>
                <w:rFonts w:hint="eastAsia"/>
              </w:rPr>
              <w:t>1</w:t>
            </w:r>
            <w:r>
              <w:rPr>
                <w:rFonts w:hint="eastAsia"/>
                <w:lang w:val="zh-CN"/>
              </w:rPr>
              <w:t>000万责任险得</w:t>
            </w:r>
            <w:r>
              <w:rPr>
                <w:rFonts w:hint="eastAsia"/>
              </w:rPr>
              <w:t>4</w:t>
            </w:r>
            <w:r>
              <w:rPr>
                <w:rFonts w:hint="eastAsia"/>
                <w:lang w:val="zh-CN"/>
              </w:rPr>
              <w:t>分；没有购买及其它情况不得分；</w:t>
            </w:r>
          </w:p>
          <w:p>
            <w:pPr>
              <w:rPr>
                <w:lang w:val="zh-CN"/>
              </w:rPr>
            </w:pPr>
            <w:r>
              <w:rPr>
                <w:rFonts w:hint="eastAsia"/>
                <w:lang w:val="zh-CN"/>
              </w:rPr>
              <w:t>以上两项分值累加计算，此项满分</w:t>
            </w:r>
            <w:r>
              <w:rPr>
                <w:rFonts w:hint="eastAsia"/>
              </w:rPr>
              <w:t>10</w:t>
            </w:r>
            <w:r>
              <w:rPr>
                <w:rFonts w:hint="eastAsia"/>
                <w:lang w:val="zh-CN"/>
              </w:rPr>
              <w:t>分。</w:t>
            </w:r>
          </w:p>
          <w:p>
            <w:pPr>
              <w:rPr>
                <w:lang w:val="zh-CN"/>
              </w:rPr>
            </w:pPr>
            <w:r>
              <w:rPr>
                <w:rFonts w:hint="eastAsia"/>
              </w:rPr>
              <w:t>2.</w:t>
            </w:r>
            <w:r>
              <w:rPr>
                <w:rFonts w:hint="eastAsia"/>
                <w:lang w:val="zh-CN"/>
              </w:rPr>
              <w:t>证明文件：</w:t>
            </w:r>
          </w:p>
          <w:p>
            <w:r>
              <w:rPr>
                <w:rFonts w:hint="eastAsia"/>
                <w:lang w:val="zh-CN"/>
              </w:rPr>
              <w:t>提供投标人在该项目公示之前购买食品安全责任险、公众责任险有效期内的保单复印件和购买发票复印件，原件备查。</w:t>
            </w:r>
          </w:p>
        </w:tc>
        <w:tc>
          <w:tcPr>
            <w:tcW w:w="70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20</w:t>
            </w:r>
          </w:p>
        </w:tc>
        <w:tc>
          <w:tcPr>
            <w:tcW w:w="9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wordWrap w:val="0"/>
              <w:rPr>
                <w:rFonts w:ascii="Microsoft YaHei UI" w:hAnsi="Microsoft YaHei UI" w:eastAsia="宋体" w:cs="宋体"/>
                <w:color w:val="000000"/>
                <w:spacing w:val="8"/>
                <w:kern w:val="0"/>
                <w:sz w:val="26"/>
                <w:szCs w:val="26"/>
              </w:rPr>
            </w:pPr>
          </w:p>
        </w:tc>
      </w:tr>
      <w:tr>
        <w:tblPrEx>
          <w:tblLayout w:type="fixed"/>
          <w:tblCellMar>
            <w:top w:w="0" w:type="dxa"/>
            <w:left w:w="0" w:type="dxa"/>
            <w:bottom w:w="0" w:type="dxa"/>
            <w:right w:w="0" w:type="dxa"/>
          </w:tblCellMar>
        </w:tblPrEx>
        <w:trPr>
          <w:trHeight w:val="1350" w:hRule="atLeast"/>
          <w:jc w:val="center"/>
        </w:trPr>
        <w:tc>
          <w:tcPr>
            <w:tcW w:w="59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2</w:t>
            </w:r>
          </w:p>
        </w:tc>
        <w:tc>
          <w:tcPr>
            <w:tcW w:w="9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经营项目饭盒制售单班限生产份数</w:t>
            </w:r>
          </w:p>
        </w:tc>
        <w:tc>
          <w:tcPr>
            <w:tcW w:w="29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提供食品经营许可证复印件加盖公章(以食品经营许可证经营项目内容为准）</w:t>
            </w:r>
          </w:p>
        </w:tc>
        <w:tc>
          <w:tcPr>
            <w:tcW w:w="364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单班限生产份数：</w:t>
            </w:r>
          </w:p>
          <w:p>
            <w:r>
              <w:rPr>
                <w:rFonts w:hint="eastAsia"/>
              </w:rPr>
              <w:t>A.15000份（含）以上得10分；</w:t>
            </w:r>
          </w:p>
          <w:p>
            <w:r>
              <w:rPr>
                <w:rFonts w:hint="eastAsia"/>
              </w:rPr>
              <w:t>B.8000份—15000份（不含）得7分；</w:t>
            </w:r>
          </w:p>
          <w:p>
            <w:r>
              <w:rPr>
                <w:rFonts w:hint="eastAsia"/>
              </w:rPr>
              <w:t>C.5000份-8000份（不含）得5分；</w:t>
            </w:r>
          </w:p>
          <w:p>
            <w:r>
              <w:rPr>
                <w:rFonts w:hint="eastAsia"/>
              </w:rPr>
              <w:t>D.5000份（不含）以下得3分。</w:t>
            </w:r>
          </w:p>
        </w:tc>
        <w:tc>
          <w:tcPr>
            <w:tcW w:w="70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10</w:t>
            </w:r>
          </w:p>
        </w:tc>
        <w:tc>
          <w:tcPr>
            <w:tcW w:w="9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wordWrap w:val="0"/>
              <w:rPr>
                <w:rFonts w:ascii="Microsoft YaHei UI" w:hAnsi="Microsoft YaHei UI" w:eastAsia="Microsoft YaHei UI" w:cs="宋体"/>
                <w:color w:val="000000"/>
                <w:spacing w:val="8"/>
                <w:kern w:val="0"/>
                <w:sz w:val="26"/>
                <w:szCs w:val="26"/>
              </w:rPr>
            </w:pPr>
          </w:p>
        </w:tc>
      </w:tr>
      <w:tr>
        <w:tblPrEx>
          <w:tblLayout w:type="fixed"/>
          <w:tblCellMar>
            <w:top w:w="0" w:type="dxa"/>
            <w:left w:w="0" w:type="dxa"/>
            <w:bottom w:w="0" w:type="dxa"/>
            <w:right w:w="0" w:type="dxa"/>
          </w:tblCellMar>
        </w:tblPrEx>
        <w:trPr>
          <w:trHeight w:val="1350" w:hRule="atLeast"/>
          <w:jc w:val="center"/>
        </w:trPr>
        <w:tc>
          <w:tcPr>
            <w:tcW w:w="59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3</w:t>
            </w:r>
          </w:p>
        </w:tc>
        <w:tc>
          <w:tcPr>
            <w:tcW w:w="9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配送中心场所面积</w:t>
            </w:r>
          </w:p>
        </w:tc>
        <w:tc>
          <w:tcPr>
            <w:tcW w:w="29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配送中心场所面积：</w:t>
            </w:r>
          </w:p>
          <w:p>
            <w:r>
              <w:rPr>
                <w:rFonts w:hint="eastAsia"/>
              </w:rPr>
              <w:t>(投标人提供房屋租赁合同或场 地使用证明复印件加盖公章、车间照片及内景图片。）</w:t>
            </w:r>
          </w:p>
        </w:tc>
        <w:tc>
          <w:tcPr>
            <w:tcW w:w="364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配送中心场所面积：（投标人提供房屋租赁合同或场地使用证明复印件加盖公章、车间照片及内景图片。）</w:t>
            </w:r>
          </w:p>
          <w:p>
            <w:r>
              <w:rPr>
                <w:rFonts w:hint="eastAsia"/>
              </w:rPr>
              <w:t>A.10000㎡（含）以上得10分；</w:t>
            </w:r>
          </w:p>
          <w:p>
            <w:r>
              <w:rPr>
                <w:rFonts w:hint="eastAsia"/>
              </w:rPr>
              <w:t>B.8000㎡（含）-10000㎡（不含）得7分；</w:t>
            </w:r>
          </w:p>
          <w:p>
            <w:r>
              <w:rPr>
                <w:rFonts w:hint="eastAsia"/>
              </w:rPr>
              <w:t>C.4000㎡（含）-8000㎡（不含）得5分；</w:t>
            </w:r>
          </w:p>
          <w:p>
            <w:r>
              <w:rPr>
                <w:rFonts w:hint="eastAsia"/>
              </w:rPr>
              <w:t>D.4000㎡（不含）以下得3分。</w:t>
            </w:r>
          </w:p>
        </w:tc>
        <w:tc>
          <w:tcPr>
            <w:tcW w:w="70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10</w:t>
            </w:r>
          </w:p>
        </w:tc>
        <w:tc>
          <w:tcPr>
            <w:tcW w:w="9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wordWrap w:val="0"/>
            </w:pPr>
          </w:p>
        </w:tc>
      </w:tr>
      <w:tr>
        <w:tblPrEx>
          <w:tblLayout w:type="fixed"/>
          <w:tblCellMar>
            <w:top w:w="0" w:type="dxa"/>
            <w:left w:w="0" w:type="dxa"/>
            <w:bottom w:w="0" w:type="dxa"/>
            <w:right w:w="0" w:type="dxa"/>
          </w:tblCellMar>
        </w:tblPrEx>
        <w:trPr>
          <w:trHeight w:val="1350" w:hRule="atLeast"/>
          <w:jc w:val="center"/>
        </w:trPr>
        <w:tc>
          <w:tcPr>
            <w:tcW w:w="59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4</w:t>
            </w:r>
          </w:p>
        </w:tc>
        <w:tc>
          <w:tcPr>
            <w:tcW w:w="9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配餐公司营养师配置情况</w:t>
            </w:r>
          </w:p>
        </w:tc>
        <w:tc>
          <w:tcPr>
            <w:tcW w:w="29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提供营养师证件复印件和投标单位为其缴纳的社保证明（近期三个月的社保证明）。</w:t>
            </w:r>
          </w:p>
        </w:tc>
        <w:tc>
          <w:tcPr>
            <w:tcW w:w="364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企业配置营养师数量：</w:t>
            </w:r>
          </w:p>
          <w:p>
            <w:r>
              <w:rPr>
                <w:rFonts w:hint="eastAsia"/>
              </w:rPr>
              <w:t>A.有2名及以上餐饮营养师得15分；</w:t>
            </w:r>
          </w:p>
          <w:p>
            <w:r>
              <w:rPr>
                <w:rFonts w:hint="eastAsia"/>
              </w:rPr>
              <w:t>B.有1名餐饮营养师得5分；</w:t>
            </w:r>
          </w:p>
          <w:p>
            <w:r>
              <w:rPr>
                <w:rFonts w:hint="eastAsia"/>
              </w:rPr>
              <w:t>C.无餐饮营养师0分。</w:t>
            </w:r>
          </w:p>
        </w:tc>
        <w:tc>
          <w:tcPr>
            <w:tcW w:w="70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15</w:t>
            </w:r>
          </w:p>
        </w:tc>
        <w:tc>
          <w:tcPr>
            <w:tcW w:w="9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wordWrap w:val="0"/>
            </w:pPr>
          </w:p>
        </w:tc>
      </w:tr>
      <w:tr>
        <w:tblPrEx>
          <w:tblLayout w:type="fixed"/>
          <w:tblCellMar>
            <w:top w:w="0" w:type="dxa"/>
            <w:left w:w="0" w:type="dxa"/>
            <w:bottom w:w="0" w:type="dxa"/>
            <w:right w:w="0" w:type="dxa"/>
          </w:tblCellMar>
        </w:tblPrEx>
        <w:trPr>
          <w:trHeight w:val="1350" w:hRule="atLeast"/>
          <w:jc w:val="center"/>
        </w:trPr>
        <w:tc>
          <w:tcPr>
            <w:tcW w:w="59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5</w:t>
            </w:r>
          </w:p>
        </w:tc>
        <w:tc>
          <w:tcPr>
            <w:tcW w:w="9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
            <w:r>
              <w:rPr>
                <w:rFonts w:hint="eastAsia"/>
              </w:rPr>
              <w:t>质量保证方案</w:t>
            </w:r>
          </w:p>
          <w:p/>
        </w:tc>
        <w:tc>
          <w:tcPr>
            <w:tcW w:w="29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r>
              <w:rPr>
                <w:rFonts w:hint="eastAsia"/>
              </w:rPr>
              <w:t>提供质量保证方案：方案须对蔬菜类、鲜肉类、水产类、冻品、水果、粮油、副食、干货、杂货、调配料、洗洁等有健全的原材料采购制度和供应商管理制度，并提供供应商资质。</w:t>
            </w:r>
          </w:p>
          <w:p/>
        </w:tc>
        <w:tc>
          <w:tcPr>
            <w:tcW w:w="364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r>
              <w:rPr>
                <w:rFonts w:hint="eastAsia"/>
              </w:rPr>
              <w:t>方案须对蔬菜类、鲜肉类、水产类、冻品、水果、粮油、副食、干货、杂货、调配料、洗洁等有健全的原材料采购制度和供应商管理制度，并提供供应商资质。</w:t>
            </w:r>
          </w:p>
          <w:p>
            <w:r>
              <w:rPr>
                <w:rFonts w:hint="eastAsia"/>
              </w:rPr>
              <w:t>A.非常健全 15分；</w:t>
            </w:r>
          </w:p>
          <w:p>
            <w:r>
              <w:rPr>
                <w:rFonts w:hint="eastAsia"/>
              </w:rPr>
              <w:t>B.基本健全 5分；</w:t>
            </w:r>
          </w:p>
          <w:p>
            <w:r>
              <w:rPr>
                <w:rFonts w:hint="eastAsia"/>
              </w:rPr>
              <w:t>C.不健全  0分。</w:t>
            </w:r>
          </w:p>
        </w:tc>
        <w:tc>
          <w:tcPr>
            <w:tcW w:w="70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15</w:t>
            </w:r>
          </w:p>
        </w:tc>
        <w:tc>
          <w:tcPr>
            <w:tcW w:w="9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wordWrap w:val="0"/>
            </w:pPr>
          </w:p>
        </w:tc>
      </w:tr>
      <w:tr>
        <w:tblPrEx>
          <w:tblLayout w:type="fixed"/>
          <w:tblCellMar>
            <w:top w:w="0" w:type="dxa"/>
            <w:left w:w="0" w:type="dxa"/>
            <w:bottom w:w="0" w:type="dxa"/>
            <w:right w:w="0" w:type="dxa"/>
          </w:tblCellMar>
        </w:tblPrEx>
        <w:trPr>
          <w:trHeight w:val="1350" w:hRule="atLeast"/>
          <w:jc w:val="center"/>
        </w:trPr>
        <w:tc>
          <w:tcPr>
            <w:tcW w:w="59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r>
              <w:rPr>
                <w:rFonts w:hint="eastAsia"/>
              </w:rPr>
              <w:t>6</w:t>
            </w:r>
          </w:p>
        </w:tc>
        <w:tc>
          <w:tcPr>
            <w:tcW w:w="9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r>
              <w:rPr>
                <w:rFonts w:hint="eastAsia"/>
              </w:rPr>
              <w:t> </w:t>
            </w:r>
          </w:p>
          <w:p>
            <w:r>
              <w:rPr>
                <w:rFonts w:hint="eastAsia"/>
              </w:rPr>
              <w:t>安全保障措施方案</w:t>
            </w:r>
          </w:p>
        </w:tc>
        <w:tc>
          <w:tcPr>
            <w:tcW w:w="2915"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r>
              <w:rPr>
                <w:rFonts w:hint="eastAsia"/>
              </w:rPr>
              <w:t>安全保障措施方案：根据货物的来源、加工、 包装、保存、运输等各环节的质量保证措施进行评价。</w:t>
            </w:r>
          </w:p>
          <w:p>
            <w:r>
              <w:rPr>
                <w:rFonts w:hint="eastAsia"/>
              </w:rPr>
              <w:t>2、提供使用餐具的承诺函</w:t>
            </w:r>
          </w:p>
        </w:tc>
        <w:tc>
          <w:tcPr>
            <w:tcW w:w="364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r>
              <w:rPr>
                <w:rFonts w:hint="eastAsia"/>
              </w:rPr>
              <w:t>1、根据货物的来源、加工、包装、保存等各环节的质量安全保证措施进行评价。</w:t>
            </w:r>
          </w:p>
          <w:p>
            <w:r>
              <w:rPr>
                <w:rFonts w:hint="eastAsia"/>
              </w:rPr>
              <w:t>A.非常健全  5 分；</w:t>
            </w:r>
          </w:p>
          <w:p>
            <w:r>
              <w:rPr>
                <w:rFonts w:hint="eastAsia"/>
              </w:rPr>
              <w:t>B.基本健全  2 分；</w:t>
            </w:r>
          </w:p>
          <w:p>
            <w:r>
              <w:rPr>
                <w:rFonts w:hint="eastAsia"/>
              </w:rPr>
              <w:t>C.不健全  0 分。</w:t>
            </w:r>
          </w:p>
          <w:p>
            <w:r>
              <w:rPr>
                <w:rFonts w:hint="eastAsia"/>
              </w:rPr>
              <w:t>2、投标人必须提供使用餐具的承诺函，</w:t>
            </w:r>
          </w:p>
          <w:p>
            <w:r>
              <w:rPr>
                <w:rFonts w:hint="eastAsia"/>
              </w:rPr>
              <w:t>A.不锈钢餐具 5 分；</w:t>
            </w:r>
          </w:p>
          <w:p>
            <w:r>
              <w:rPr>
                <w:rFonts w:hint="eastAsia"/>
              </w:rPr>
              <w:t>B.PP循环餐具  3 分；</w:t>
            </w:r>
          </w:p>
          <w:p>
            <w:r>
              <w:rPr>
                <w:rFonts w:hint="eastAsia"/>
              </w:rPr>
              <w:t>C.一次性餐具1 分。</w:t>
            </w:r>
          </w:p>
        </w:tc>
        <w:tc>
          <w:tcPr>
            <w:tcW w:w="70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10</w:t>
            </w:r>
          </w:p>
        </w:tc>
        <w:tc>
          <w:tcPr>
            <w:tcW w:w="98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wordWrap w:val="0"/>
            </w:pPr>
          </w:p>
        </w:tc>
      </w:tr>
      <w:tr>
        <w:tblPrEx>
          <w:tblLayout w:type="fixed"/>
          <w:tblCellMar>
            <w:top w:w="0" w:type="dxa"/>
            <w:left w:w="0" w:type="dxa"/>
            <w:bottom w:w="0" w:type="dxa"/>
            <w:right w:w="0" w:type="dxa"/>
          </w:tblCellMar>
        </w:tblPrEx>
        <w:trPr>
          <w:trHeight w:val="1500" w:hRule="atLeast"/>
          <w:jc w:val="center"/>
        </w:trPr>
        <w:tc>
          <w:tcPr>
            <w:tcW w:w="590" w:type="dxa"/>
            <w:tcBorders>
              <w:top w:val="nil"/>
              <w:left w:val="single" w:color="auto" w:sz="6" w:space="0"/>
              <w:bottom w:val="single" w:color="auto" w:sz="4" w:space="0"/>
              <w:right w:val="single" w:color="auto" w:sz="6" w:space="0"/>
            </w:tcBorders>
            <w:shd w:val="clear" w:color="auto" w:fill="FFFFFF"/>
            <w:tcMar>
              <w:top w:w="0" w:type="dxa"/>
              <w:left w:w="105" w:type="dxa"/>
              <w:bottom w:w="0" w:type="dxa"/>
              <w:right w:w="105" w:type="dxa"/>
            </w:tcMar>
            <w:vAlign w:val="center"/>
          </w:tcPr>
          <w:p>
            <w:r>
              <w:rPr>
                <w:rFonts w:hint="eastAsia"/>
              </w:rPr>
              <w:t>7</w:t>
            </w:r>
          </w:p>
        </w:tc>
        <w:tc>
          <w:tcPr>
            <w:tcW w:w="971"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r>
              <w:rPr>
                <w:rFonts w:hint="eastAsia"/>
              </w:rPr>
              <w:t>配送服务方案</w:t>
            </w:r>
          </w:p>
        </w:tc>
        <w:tc>
          <w:tcPr>
            <w:tcW w:w="2915"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r>
              <w:rPr>
                <w:rFonts w:hint="eastAsia"/>
              </w:rPr>
              <w:t>配送服务方案：评价所有涉及本项目配送服务的各方面方案，如货源、采购渠道、供货保障、品质监控、日常管理组织、应急预案、物流配送方案及各种规章制度等。</w:t>
            </w:r>
          </w:p>
        </w:tc>
        <w:tc>
          <w:tcPr>
            <w:tcW w:w="3647"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r>
              <w:rPr>
                <w:rFonts w:hint="eastAsia"/>
              </w:rPr>
              <w:t>评价所有涉及本项目配送服务的各方面方案，如配送品质监控、日常管理组织、应急预案、物流配送方案及各种规章制度等。投标人必须提供食品卫生安全管理应急预案、食物中毒应急预案、防止食材未能及时送达应急预案，根据投标人提供应急预案进行横向比较，三种预案得10分；二种预案得6分；一种预案得2分；没有预案得0分。</w:t>
            </w:r>
          </w:p>
          <w:p/>
        </w:tc>
        <w:tc>
          <w:tcPr>
            <w:tcW w:w="700" w:type="dxa"/>
            <w:tcBorders>
              <w:top w:val="nil"/>
              <w:left w:val="nil"/>
              <w:bottom w:val="single" w:color="auto" w:sz="4"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10</w:t>
            </w:r>
          </w:p>
        </w:tc>
        <w:tc>
          <w:tcPr>
            <w:tcW w:w="987"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pPr>
              <w:widowControl/>
              <w:wordWrap w:val="0"/>
              <w:rPr>
                <w:rFonts w:ascii="Microsoft YaHei UI" w:hAnsi="Microsoft YaHei UI" w:eastAsia="Microsoft YaHei UI" w:cs="宋体"/>
                <w:color w:val="000000"/>
                <w:spacing w:val="8"/>
                <w:kern w:val="0"/>
                <w:sz w:val="26"/>
                <w:szCs w:val="26"/>
              </w:rPr>
            </w:pPr>
          </w:p>
        </w:tc>
      </w:tr>
      <w:tr>
        <w:tblPrEx>
          <w:tblLayout w:type="fixed"/>
          <w:tblCellMar>
            <w:top w:w="0" w:type="dxa"/>
            <w:left w:w="0" w:type="dxa"/>
            <w:bottom w:w="0" w:type="dxa"/>
            <w:right w:w="0" w:type="dxa"/>
          </w:tblCellMar>
        </w:tblPrEx>
        <w:trPr>
          <w:trHeight w:val="1500" w:hRule="atLeast"/>
          <w:jc w:val="center"/>
        </w:trPr>
        <w:tc>
          <w:tcPr>
            <w:tcW w:w="590" w:type="dxa"/>
            <w:tcBorders>
              <w:top w:val="nil"/>
              <w:left w:val="single" w:color="auto" w:sz="6" w:space="0"/>
              <w:bottom w:val="single" w:color="auto" w:sz="4" w:space="0"/>
              <w:right w:val="single" w:color="auto" w:sz="6" w:space="0"/>
            </w:tcBorders>
            <w:shd w:val="clear" w:color="auto" w:fill="FFFFFF"/>
            <w:tcMar>
              <w:top w:w="0" w:type="dxa"/>
              <w:left w:w="105" w:type="dxa"/>
              <w:bottom w:w="0" w:type="dxa"/>
              <w:right w:w="105" w:type="dxa"/>
            </w:tcMar>
            <w:vAlign w:val="center"/>
          </w:tcPr>
          <w:p>
            <w:r>
              <w:rPr>
                <w:rFonts w:hint="eastAsia"/>
              </w:rPr>
              <w:t>8</w:t>
            </w:r>
          </w:p>
        </w:tc>
        <w:tc>
          <w:tcPr>
            <w:tcW w:w="971" w:type="dxa"/>
            <w:tcBorders>
              <w:top w:val="nil"/>
              <w:left w:val="nil"/>
              <w:bottom w:val="single" w:color="auto" w:sz="4" w:space="0"/>
              <w:right w:val="single" w:color="auto" w:sz="6" w:space="0"/>
            </w:tcBorders>
            <w:shd w:val="clear" w:color="auto" w:fill="FFFFFF"/>
            <w:tcMar>
              <w:top w:w="0" w:type="dxa"/>
              <w:left w:w="105" w:type="dxa"/>
              <w:bottom w:w="0" w:type="dxa"/>
              <w:right w:w="105" w:type="dxa"/>
            </w:tcMar>
            <w:vAlign w:val="center"/>
          </w:tcPr>
          <w:p>
            <w:r>
              <w:rPr>
                <w:rFonts w:hint="eastAsia"/>
              </w:rPr>
              <w:t>其他具备资质认证</w:t>
            </w:r>
          </w:p>
        </w:tc>
        <w:tc>
          <w:tcPr>
            <w:tcW w:w="2915" w:type="dxa"/>
            <w:tcBorders>
              <w:top w:val="nil"/>
              <w:left w:val="nil"/>
              <w:bottom w:val="single" w:color="auto" w:sz="4" w:space="0"/>
              <w:right w:val="single" w:color="auto" w:sz="6" w:space="0"/>
            </w:tcBorders>
            <w:shd w:val="clear" w:color="auto" w:fill="FFFFFF"/>
            <w:tcMar>
              <w:top w:w="0" w:type="dxa"/>
              <w:left w:w="105" w:type="dxa"/>
              <w:bottom w:w="0" w:type="dxa"/>
              <w:right w:w="105" w:type="dxa"/>
            </w:tcMar>
            <w:vAlign w:val="center"/>
          </w:tcPr>
          <w:p>
            <w:r>
              <w:rPr>
                <w:rFonts w:hint="eastAsia"/>
              </w:rPr>
              <w:t>考察内容：</w:t>
            </w:r>
          </w:p>
          <w:p>
            <w:r>
              <w:rPr>
                <w:rFonts w:hint="eastAsia"/>
              </w:rPr>
              <w:t>投标人自有运送食品车辆每有1辆为粤B牌的得1分，最多得5分。</w:t>
            </w:r>
          </w:p>
          <w:p>
            <w:r>
              <w:rPr>
                <w:rFonts w:hint="eastAsia"/>
              </w:rPr>
              <w:t>证明文件：须提供行驶证扫描件、购买发票等相关证明文件，如为租赁车辆的不得分。</w:t>
            </w:r>
          </w:p>
        </w:tc>
        <w:tc>
          <w:tcPr>
            <w:tcW w:w="3647" w:type="dxa"/>
            <w:tcBorders>
              <w:top w:val="nil"/>
              <w:left w:val="nil"/>
              <w:bottom w:val="single" w:color="auto" w:sz="4" w:space="0"/>
              <w:right w:val="single" w:color="auto" w:sz="6" w:space="0"/>
            </w:tcBorders>
            <w:shd w:val="clear" w:color="auto" w:fill="FFFFFF"/>
            <w:tcMar>
              <w:top w:w="0" w:type="dxa"/>
              <w:left w:w="105" w:type="dxa"/>
              <w:bottom w:w="0" w:type="dxa"/>
              <w:right w:w="105" w:type="dxa"/>
            </w:tcMar>
            <w:vAlign w:val="center"/>
          </w:tcPr>
          <w:p>
            <w:r>
              <w:rPr>
                <w:rFonts w:hint="eastAsia"/>
              </w:rPr>
              <w:t>项目拟使用的车辆情况。</w:t>
            </w:r>
          </w:p>
        </w:tc>
        <w:tc>
          <w:tcPr>
            <w:tcW w:w="700" w:type="dxa"/>
            <w:tcBorders>
              <w:top w:val="nil"/>
              <w:left w:val="nil"/>
              <w:bottom w:val="single" w:color="auto" w:sz="4" w:space="0"/>
              <w:right w:val="single" w:color="auto" w:sz="6" w:space="0"/>
            </w:tcBorders>
            <w:shd w:val="clear" w:color="auto" w:fill="FFFFFF"/>
            <w:tcMar>
              <w:top w:w="0" w:type="dxa"/>
              <w:left w:w="105" w:type="dxa"/>
              <w:bottom w:w="0" w:type="dxa"/>
              <w:right w:w="105" w:type="dxa"/>
            </w:tcMar>
            <w:vAlign w:val="center"/>
          </w:tcPr>
          <w:p>
            <w:pPr>
              <w:widowControl/>
              <w:wordWrap w:val="0"/>
              <w:spacing w:line="315" w:lineRule="atLeast"/>
              <w:rPr>
                <w:rFonts w:ascii="宋体" w:hAnsi="宋体" w:eastAsia="宋体" w:cs="宋体"/>
                <w:color w:val="000000"/>
                <w:spacing w:val="8"/>
                <w:kern w:val="0"/>
                <w:szCs w:val="21"/>
              </w:rPr>
            </w:pPr>
            <w:r>
              <w:rPr>
                <w:rFonts w:hint="eastAsia" w:ascii="宋体" w:hAnsi="宋体" w:eastAsia="宋体" w:cs="宋体"/>
                <w:color w:val="000000"/>
                <w:spacing w:val="8"/>
                <w:kern w:val="0"/>
                <w:szCs w:val="21"/>
              </w:rPr>
              <w:t>5</w:t>
            </w:r>
          </w:p>
        </w:tc>
        <w:tc>
          <w:tcPr>
            <w:tcW w:w="987"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pPr>
              <w:widowControl/>
              <w:wordWrap w:val="0"/>
              <w:rPr>
                <w:rFonts w:ascii="Microsoft YaHei UI" w:hAnsi="Microsoft YaHei UI" w:eastAsia="Microsoft YaHei UI" w:cs="宋体"/>
                <w:color w:val="000000"/>
                <w:spacing w:val="8"/>
                <w:kern w:val="0"/>
                <w:sz w:val="26"/>
                <w:szCs w:val="26"/>
              </w:rPr>
            </w:pPr>
          </w:p>
        </w:tc>
      </w:tr>
      <w:tr>
        <w:tblPrEx>
          <w:tblLayout w:type="fixed"/>
          <w:tblCellMar>
            <w:top w:w="0" w:type="dxa"/>
            <w:left w:w="0" w:type="dxa"/>
            <w:bottom w:w="0" w:type="dxa"/>
            <w:right w:w="0" w:type="dxa"/>
          </w:tblCellMar>
        </w:tblPrEx>
        <w:trPr>
          <w:trHeight w:val="1500" w:hRule="atLeast"/>
          <w:jc w:val="center"/>
        </w:trPr>
        <w:tc>
          <w:tcPr>
            <w:tcW w:w="590" w:type="dxa"/>
            <w:tcBorders>
              <w:top w:val="nil"/>
              <w:left w:val="single" w:color="auto" w:sz="6" w:space="0"/>
              <w:bottom w:val="single" w:color="auto" w:sz="4" w:space="0"/>
              <w:right w:val="single" w:color="auto" w:sz="6" w:space="0"/>
            </w:tcBorders>
            <w:shd w:val="clear" w:color="auto" w:fill="FFFFFF"/>
            <w:tcMar>
              <w:top w:w="0" w:type="dxa"/>
              <w:left w:w="105" w:type="dxa"/>
              <w:bottom w:w="0" w:type="dxa"/>
              <w:right w:w="105" w:type="dxa"/>
            </w:tcMar>
            <w:vAlign w:val="center"/>
          </w:tcPr>
          <w:p>
            <w:r>
              <w:rPr>
                <w:rFonts w:hint="eastAsia"/>
              </w:rPr>
              <w:t>9</w:t>
            </w:r>
          </w:p>
        </w:tc>
        <w:tc>
          <w:tcPr>
            <w:tcW w:w="971" w:type="dxa"/>
            <w:tcBorders>
              <w:top w:val="nil"/>
              <w:left w:val="nil"/>
              <w:bottom w:val="single" w:color="auto" w:sz="4" w:space="0"/>
              <w:right w:val="single" w:color="auto" w:sz="6" w:space="0"/>
            </w:tcBorders>
            <w:shd w:val="clear" w:color="auto" w:fill="FFFFFF"/>
            <w:tcMar>
              <w:top w:w="0" w:type="dxa"/>
              <w:left w:w="105" w:type="dxa"/>
              <w:bottom w:w="0" w:type="dxa"/>
              <w:right w:w="105" w:type="dxa"/>
            </w:tcMar>
            <w:vAlign w:val="center"/>
          </w:tcPr>
          <w:p>
            <w:r>
              <w:rPr>
                <w:rFonts w:hint="eastAsia"/>
              </w:rPr>
              <w:t>配餐企业学校校外配餐成功案例</w:t>
            </w:r>
          </w:p>
        </w:tc>
        <w:tc>
          <w:tcPr>
            <w:tcW w:w="2915"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p/>
          <w:p>
            <w:r>
              <w:rPr>
                <w:rFonts w:hint="eastAsia"/>
              </w:rPr>
              <w:t>投标人须提供项目合同关键页或中标通知书原件扫描件以及获得好评的书面证明并加盖公章，原件备查。未提供或提供不清晰导致无法判断的，不得分。</w:t>
            </w:r>
          </w:p>
        </w:tc>
        <w:tc>
          <w:tcPr>
            <w:tcW w:w="3647"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r>
              <w:rPr>
                <w:rFonts w:hint="eastAsia"/>
              </w:rPr>
              <w:t>1.评审标准：</w:t>
            </w:r>
          </w:p>
          <w:p>
            <w:r>
              <w:rPr>
                <w:rFonts w:hint="eastAsia"/>
              </w:rPr>
              <w:t>投标人自2019年8月1日至本项目投标截止时间止完成同类校外配餐项目业绩(以合同签订时间为准)，每项业绩得1分，最高得分5分。</w:t>
            </w:r>
          </w:p>
          <w:p>
            <w:r>
              <w:rPr>
                <w:rFonts w:hint="eastAsia"/>
              </w:rPr>
              <w:t>2.证明文件：</w:t>
            </w:r>
          </w:p>
          <w:p>
            <w:r>
              <w:rPr>
                <w:rFonts w:hint="eastAsia"/>
              </w:rPr>
              <w:t>投标人须提供项目合同关键页或中标通知书原件扫描件并加盖公章，原件备查。未提供或提供不清晰导致无法判断的，不得分。</w:t>
            </w:r>
          </w:p>
        </w:tc>
        <w:tc>
          <w:tcPr>
            <w:tcW w:w="700" w:type="dxa"/>
            <w:tcBorders>
              <w:top w:val="nil"/>
              <w:left w:val="nil"/>
              <w:bottom w:val="single" w:color="auto" w:sz="4" w:space="0"/>
              <w:right w:val="single" w:color="auto" w:sz="6" w:space="0"/>
            </w:tcBorders>
            <w:shd w:val="clear" w:color="auto" w:fill="FFFFFF"/>
            <w:tcMar>
              <w:top w:w="0" w:type="dxa"/>
              <w:left w:w="105" w:type="dxa"/>
              <w:bottom w:w="0" w:type="dxa"/>
              <w:right w:w="105" w:type="dxa"/>
            </w:tcMar>
            <w:vAlign w:val="center"/>
          </w:tcPr>
          <w:p>
            <w:pPr>
              <w:widowControl/>
              <w:wordWrap w:val="0"/>
              <w:rPr>
                <w:rFonts w:ascii="宋体" w:hAnsi="宋体" w:eastAsia="宋体" w:cs="宋体"/>
                <w:color w:val="FF0000"/>
                <w:spacing w:val="8"/>
                <w:kern w:val="0"/>
                <w:szCs w:val="21"/>
              </w:rPr>
            </w:pPr>
            <w:r>
              <w:rPr>
                <w:rFonts w:hint="eastAsia" w:ascii="宋体" w:hAnsi="宋体" w:eastAsia="宋体" w:cs="宋体"/>
                <w:spacing w:val="8"/>
                <w:kern w:val="0"/>
                <w:szCs w:val="21"/>
              </w:rPr>
              <w:t>5</w:t>
            </w:r>
          </w:p>
        </w:tc>
        <w:tc>
          <w:tcPr>
            <w:tcW w:w="987" w:type="dxa"/>
            <w:tcBorders>
              <w:top w:val="nil"/>
              <w:left w:val="nil"/>
              <w:bottom w:val="single" w:color="auto" w:sz="4" w:space="0"/>
              <w:right w:val="single" w:color="auto" w:sz="6" w:space="0"/>
            </w:tcBorders>
            <w:shd w:val="clear" w:color="auto" w:fill="FFFFFF"/>
            <w:tcMar>
              <w:top w:w="0" w:type="dxa"/>
              <w:left w:w="105" w:type="dxa"/>
              <w:bottom w:w="0" w:type="dxa"/>
              <w:right w:w="105" w:type="dxa"/>
            </w:tcMar>
          </w:tcPr>
          <w:p>
            <w:pPr>
              <w:widowControl/>
              <w:wordWrap w:val="0"/>
              <w:rPr>
                <w:rFonts w:ascii="Microsoft YaHei UI" w:hAnsi="Microsoft YaHei UI" w:eastAsia="Microsoft YaHei UI" w:cs="宋体"/>
                <w:color w:val="000000"/>
                <w:spacing w:val="8"/>
                <w:kern w:val="0"/>
                <w:sz w:val="26"/>
                <w:szCs w:val="26"/>
              </w:rPr>
            </w:pPr>
          </w:p>
        </w:tc>
      </w:tr>
      <w:tr>
        <w:tblPrEx>
          <w:tblLayout w:type="fixed"/>
          <w:tblCellMar>
            <w:top w:w="0" w:type="dxa"/>
            <w:left w:w="0" w:type="dxa"/>
            <w:bottom w:w="0" w:type="dxa"/>
            <w:right w:w="0" w:type="dxa"/>
          </w:tblCellMar>
        </w:tblPrEx>
        <w:trPr>
          <w:trHeight w:val="270" w:hRule="atLeast"/>
          <w:jc w:val="center"/>
        </w:trPr>
        <w:tc>
          <w:tcPr>
            <w:tcW w:w="8123"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idowControl/>
              <w:wordWrap w:val="0"/>
              <w:spacing w:line="315" w:lineRule="atLeast"/>
              <w:rPr>
                <w:rFonts w:ascii="仿宋_GB2312" w:hAnsi="Microsoft YaHei UI" w:eastAsia="仿宋_GB2312" w:cs="宋体"/>
                <w:color w:val="000000"/>
                <w:spacing w:val="8"/>
                <w:kern w:val="0"/>
                <w:szCs w:val="21"/>
              </w:rPr>
            </w:pPr>
            <w:r>
              <w:rPr>
                <w:rFonts w:hint="eastAsia" w:ascii="仿宋_GB2312" w:hAnsi="Microsoft YaHei UI" w:eastAsia="仿宋_GB2312" w:cs="宋体"/>
                <w:color w:val="000000"/>
                <w:spacing w:val="8"/>
                <w:kern w:val="0"/>
                <w:szCs w:val="21"/>
              </w:rPr>
              <w:t>总分</w:t>
            </w:r>
          </w:p>
        </w:tc>
        <w:tc>
          <w:tcPr>
            <w:tcW w:w="70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idowControl/>
              <w:wordWrap w:val="0"/>
              <w:spacing w:line="315" w:lineRule="atLeast"/>
              <w:rPr>
                <w:rFonts w:ascii="仿宋_GB2312" w:hAnsi="Microsoft YaHei UI" w:eastAsia="仿宋_GB2312" w:cs="宋体"/>
                <w:color w:val="000000"/>
                <w:spacing w:val="8"/>
                <w:kern w:val="0"/>
                <w:szCs w:val="21"/>
              </w:rPr>
            </w:pPr>
            <w:r>
              <w:rPr>
                <w:rFonts w:hint="eastAsia" w:ascii="仿宋_GB2312" w:hAnsi="Microsoft YaHei UI" w:eastAsia="仿宋_GB2312" w:cs="宋体"/>
                <w:color w:val="000000"/>
                <w:spacing w:val="8"/>
                <w:kern w:val="0"/>
                <w:szCs w:val="21"/>
              </w:rPr>
              <w:t>100</w:t>
            </w:r>
          </w:p>
        </w:tc>
        <w:tc>
          <w:tcPr>
            <w:tcW w:w="98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tcPr>
          <w:p>
            <w:pPr>
              <w:widowControl/>
              <w:wordWrap w:val="0"/>
              <w:rPr>
                <w:rFonts w:ascii="Microsoft YaHei UI" w:hAnsi="Microsoft YaHei UI" w:eastAsia="Microsoft YaHei UI" w:cs="宋体"/>
                <w:color w:val="000000"/>
                <w:spacing w:val="8"/>
                <w:kern w:val="0"/>
                <w:sz w:val="26"/>
                <w:szCs w:val="26"/>
              </w:rPr>
            </w:pPr>
          </w:p>
        </w:tc>
      </w:tr>
    </w:tbl>
    <w:p>
      <w:pPr>
        <w:widowControl/>
        <w:jc w:val="left"/>
        <w:rPr>
          <w:rFonts w:ascii="宋体" w:hAnsi="宋体" w:cs="宋体"/>
          <w:vanish/>
          <w:color w:val="000000"/>
          <w:kern w:val="0"/>
          <w:sz w:val="24"/>
          <w:szCs w:val="24"/>
        </w:rPr>
      </w:pPr>
    </w:p>
    <w:p>
      <w:pPr>
        <w:rPr>
          <w:color w:val="000000"/>
        </w:rPr>
      </w:pPr>
    </w:p>
    <w:p/>
    <w:p>
      <w:pPr>
        <w:pStyle w:val="6"/>
        <w:spacing w:before="0" w:beforeAutospacing="0" w:after="0" w:afterAutospacing="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Microsoft YaHei UI">
    <w:altName w:val="宋体"/>
    <w:panose1 w:val="020B0503020204020204"/>
    <w:charset w:val="86"/>
    <w:family w:val="swiss"/>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5ZTY5NWQ1MmIyZGYzNGI5NWJkMmYzYTJiMzU0MzUifQ=="/>
  </w:docVars>
  <w:rsids>
    <w:rsidRoot w:val="00995FDC"/>
    <w:rsid w:val="0000203D"/>
    <w:rsid w:val="00092713"/>
    <w:rsid w:val="00266594"/>
    <w:rsid w:val="00465703"/>
    <w:rsid w:val="005566C4"/>
    <w:rsid w:val="00662D98"/>
    <w:rsid w:val="0067167E"/>
    <w:rsid w:val="009822B4"/>
    <w:rsid w:val="00995FDC"/>
    <w:rsid w:val="00A00BFA"/>
    <w:rsid w:val="00A16B16"/>
    <w:rsid w:val="00C03B07"/>
    <w:rsid w:val="00D25353"/>
    <w:rsid w:val="00DC0971"/>
    <w:rsid w:val="00EE5DDF"/>
    <w:rsid w:val="00F93F84"/>
    <w:rsid w:val="00F96108"/>
    <w:rsid w:val="01C86A64"/>
    <w:rsid w:val="07AD2C86"/>
    <w:rsid w:val="0CEB0365"/>
    <w:rsid w:val="0E0C30E1"/>
    <w:rsid w:val="168E1172"/>
    <w:rsid w:val="18FE0FC5"/>
    <w:rsid w:val="1B8B608A"/>
    <w:rsid w:val="258B13AB"/>
    <w:rsid w:val="28200202"/>
    <w:rsid w:val="2AA0177F"/>
    <w:rsid w:val="2AF810BF"/>
    <w:rsid w:val="334834BE"/>
    <w:rsid w:val="3A5960C5"/>
    <w:rsid w:val="3D851A59"/>
    <w:rsid w:val="48A61914"/>
    <w:rsid w:val="50E23B33"/>
    <w:rsid w:val="52CE59D5"/>
    <w:rsid w:val="56923D64"/>
    <w:rsid w:val="59457FC1"/>
    <w:rsid w:val="59C76D36"/>
    <w:rsid w:val="5A473654"/>
    <w:rsid w:val="685978F6"/>
    <w:rsid w:val="6B844C5C"/>
    <w:rsid w:val="6F9C6D1E"/>
    <w:rsid w:val="732F3CCD"/>
    <w:rsid w:val="785E6F97"/>
    <w:rsid w:val="789B0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样式 样式 行距: 1.5 倍行距 + 首行缩进:  2 字符"/>
    <w:next w:val="3"/>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 w:type="paragraph" w:styleId="3">
    <w:name w:val="Body Text"/>
    <w:basedOn w:val="1"/>
    <w:unhideWhenUsed/>
    <w:qFormat/>
    <w:uiPriority w:val="99"/>
    <w:pPr>
      <w:spacing w:after="12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10">
    <w:name w:val="页眉 字符"/>
    <w:basedOn w:val="7"/>
    <w:link w:val="5"/>
    <w:qFormat/>
    <w:uiPriority w:val="99"/>
    <w:rPr>
      <w:rFonts w:asciiTheme="minorHAnsi" w:hAnsiTheme="minorHAnsi" w:eastAsiaTheme="minorEastAsia" w:cstheme="minorBidi"/>
      <w:kern w:val="2"/>
      <w:sz w:val="18"/>
      <w:szCs w:val="18"/>
    </w:rPr>
  </w:style>
  <w:style w:type="character" w:customStyle="1" w:styleId="11">
    <w:name w:val="页脚 字符"/>
    <w:basedOn w:val="7"/>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524</Words>
  <Characters>2988</Characters>
  <Lines>24</Lines>
  <Paragraphs>7</Paragraphs>
  <TotalTime>54</TotalTime>
  <ScaleCrop>false</ScaleCrop>
  <LinksUpToDate>false</LinksUpToDate>
  <CharactersWithSpaces>3505</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2019-02-12T08:16:00Z</dcterms:created>
  <dc:creator>Administrator</dc:creator>
  <cp:lastModifiedBy>廖华</cp:lastModifiedBy>
  <cp:lastPrinted>2021-06-25T06:54:00Z</cp:lastPrinted>
  <dcterms:modified xsi:type="dcterms:W3CDTF">2023-02-03T13:32:27Z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021C6FDDAF1F4652984C65E9FC340349</vt:lpwstr>
  </property>
</Properties>
</file>