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32"/>
        </w:rPr>
      </w:pPr>
    </w:p>
    <w:p>
      <w:pPr>
        <w:jc w:val="center"/>
        <w:rPr>
          <w:rFonts w:ascii="宋体" w:hAnsi="宋体"/>
          <w:b/>
          <w:sz w:val="32"/>
        </w:rPr>
      </w:pPr>
    </w:p>
    <w:p>
      <w:pPr>
        <w:jc w:val="center"/>
        <w:rPr>
          <w:rFonts w:ascii="宋体" w:hAnsi="宋体"/>
          <w:b/>
          <w:bCs/>
          <w:sz w:val="32"/>
        </w:rPr>
      </w:pPr>
      <w:r>
        <w:rPr>
          <w:rFonts w:hint="eastAsia" w:ascii="宋体" w:hAnsi="宋体"/>
          <w:b/>
          <w:sz w:val="32"/>
        </w:rPr>
        <w:t>关于</w:t>
      </w:r>
      <w:r>
        <w:rPr>
          <w:rFonts w:hint="eastAsia" w:ascii="宋体" w:hAnsi="宋体"/>
          <w:b/>
          <w:bCs/>
          <w:sz w:val="32"/>
        </w:rPr>
        <w:t>深圳市罗湖区阳光新干线幼儿园</w:t>
      </w:r>
    </w:p>
    <w:p>
      <w:pPr>
        <w:jc w:val="center"/>
        <w:outlineLvl w:val="0"/>
        <w:rPr>
          <w:rFonts w:ascii="宋体" w:hAnsi="宋体"/>
          <w:b/>
          <w:sz w:val="32"/>
        </w:rPr>
      </w:pPr>
      <w:r>
        <w:rPr>
          <w:rFonts w:hint="eastAsia" w:ascii="宋体" w:hAnsi="宋体"/>
          <w:b/>
          <w:sz w:val="32"/>
        </w:rPr>
        <w:t>2015年度会计报表的</w:t>
      </w:r>
    </w:p>
    <w:p>
      <w:pPr>
        <w:jc w:val="center"/>
        <w:outlineLvl w:val="0"/>
        <w:rPr>
          <w:rFonts w:ascii="宋体" w:hAnsi="宋体"/>
          <w:b/>
          <w:sz w:val="32"/>
        </w:rPr>
      </w:pPr>
      <w:r>
        <w:rPr>
          <w:rFonts w:hint="eastAsia" w:ascii="宋体" w:hAnsi="宋体"/>
          <w:b/>
          <w:sz w:val="32"/>
        </w:rPr>
        <w:t>审计报告</w:t>
      </w:r>
    </w:p>
    <w:p>
      <w:pPr>
        <w:spacing w:line="440" w:lineRule="exact"/>
        <w:jc w:val="center"/>
        <w:rPr>
          <w:rFonts w:ascii="宋体" w:hAnsi="宋体"/>
          <w:b/>
          <w:sz w:val="30"/>
        </w:rPr>
      </w:pPr>
    </w:p>
    <w:p>
      <w:pPr>
        <w:spacing w:line="440" w:lineRule="exact"/>
        <w:jc w:val="center"/>
        <w:rPr>
          <w:rFonts w:ascii="宋体" w:hAnsi="宋体"/>
          <w:b/>
          <w:sz w:val="30"/>
        </w:rPr>
      </w:pPr>
      <w:r>
        <w:rPr>
          <w:rFonts w:hint="eastAsia" w:ascii="宋体" w:hAnsi="宋体"/>
          <w:b/>
          <w:sz w:val="30"/>
        </w:rPr>
        <w:t>目   录</w:t>
      </w:r>
    </w:p>
    <w:tbl>
      <w:tblPr>
        <w:tblStyle w:val="9"/>
        <w:tblW w:w="7371" w:type="dxa"/>
        <w:tblInd w:w="959" w:type="dxa"/>
        <w:tblLayout w:type="fixed"/>
        <w:tblCellMar>
          <w:top w:w="0" w:type="dxa"/>
          <w:left w:w="108" w:type="dxa"/>
          <w:bottom w:w="0" w:type="dxa"/>
          <w:right w:w="108" w:type="dxa"/>
        </w:tblCellMar>
      </w:tblPr>
      <w:tblGrid>
        <w:gridCol w:w="4799"/>
        <w:gridCol w:w="871"/>
        <w:gridCol w:w="1701"/>
      </w:tblGrid>
      <w:tr>
        <w:tblPrEx>
          <w:tblLayout w:type="fixed"/>
          <w:tblCellMar>
            <w:top w:w="0" w:type="dxa"/>
            <w:left w:w="108" w:type="dxa"/>
            <w:bottom w:w="0" w:type="dxa"/>
            <w:right w:w="108" w:type="dxa"/>
          </w:tblCellMar>
        </w:tblPrEx>
        <w:trPr>
          <w:trHeight w:val="624" w:hRule="exact"/>
        </w:trPr>
        <w:tc>
          <w:tcPr>
            <w:tcW w:w="4799" w:type="dxa"/>
            <w:tcBorders>
              <w:bottom w:val="single" w:color="auto" w:sz="4" w:space="0"/>
            </w:tcBorders>
            <w:vAlign w:val="center"/>
          </w:tcPr>
          <w:p>
            <w:pPr>
              <w:spacing w:line="440" w:lineRule="exact"/>
              <w:rPr>
                <w:rFonts w:ascii="宋体" w:hAnsi="宋体"/>
                <w:sz w:val="28"/>
              </w:rPr>
            </w:pPr>
            <w:r>
              <w:rPr>
                <w:rFonts w:hint="eastAsia" w:ascii="宋体" w:hAnsi="宋体"/>
                <w:sz w:val="28"/>
              </w:rPr>
              <w:t xml:space="preserve">       项                  目</w:t>
            </w:r>
          </w:p>
        </w:tc>
        <w:tc>
          <w:tcPr>
            <w:tcW w:w="871" w:type="dxa"/>
            <w:vAlign w:val="center"/>
          </w:tcPr>
          <w:p>
            <w:pPr>
              <w:spacing w:line="440" w:lineRule="exact"/>
              <w:rPr>
                <w:rFonts w:ascii="宋体" w:hAnsi="宋体"/>
              </w:rPr>
            </w:pPr>
          </w:p>
        </w:tc>
        <w:tc>
          <w:tcPr>
            <w:tcW w:w="1701" w:type="dxa"/>
            <w:tcBorders>
              <w:bottom w:val="single" w:color="auto" w:sz="4" w:space="0"/>
            </w:tcBorders>
            <w:vAlign w:val="center"/>
          </w:tcPr>
          <w:p>
            <w:pPr>
              <w:spacing w:line="440" w:lineRule="exact"/>
              <w:jc w:val="center"/>
              <w:rPr>
                <w:rFonts w:ascii="宋体" w:hAnsi="宋体"/>
                <w:sz w:val="28"/>
              </w:rPr>
            </w:pPr>
            <w:r>
              <w:rPr>
                <w:rFonts w:hint="eastAsia" w:ascii="宋体" w:hAnsi="宋体"/>
                <w:sz w:val="28"/>
              </w:rPr>
              <w:t>页 次</w:t>
            </w:r>
          </w:p>
        </w:tc>
      </w:tr>
      <w:tr>
        <w:tblPrEx>
          <w:tblLayout w:type="fixed"/>
          <w:tblCellMar>
            <w:top w:w="0" w:type="dxa"/>
            <w:left w:w="108" w:type="dxa"/>
            <w:bottom w:w="0" w:type="dxa"/>
            <w:right w:w="108" w:type="dxa"/>
          </w:tblCellMar>
        </w:tblPrEx>
        <w:trPr>
          <w:trHeight w:val="624" w:hRule="exact"/>
        </w:trPr>
        <w:tc>
          <w:tcPr>
            <w:tcW w:w="4799" w:type="dxa"/>
            <w:tcBorders>
              <w:top w:val="single" w:color="auto" w:sz="4" w:space="0"/>
            </w:tcBorders>
            <w:vAlign w:val="center"/>
          </w:tcPr>
          <w:p>
            <w:pPr>
              <w:spacing w:line="440" w:lineRule="exact"/>
              <w:rPr>
                <w:rFonts w:ascii="宋体" w:hAnsi="宋体"/>
              </w:rPr>
            </w:pPr>
            <w:r>
              <w:rPr>
                <w:rFonts w:hint="eastAsia" w:ascii="宋体" w:hAnsi="宋体"/>
              </w:rPr>
              <w:t>一、审计报告</w:t>
            </w:r>
          </w:p>
        </w:tc>
        <w:tc>
          <w:tcPr>
            <w:tcW w:w="871" w:type="dxa"/>
            <w:vAlign w:val="center"/>
          </w:tcPr>
          <w:p>
            <w:pPr>
              <w:spacing w:line="440" w:lineRule="exact"/>
              <w:rPr>
                <w:rFonts w:ascii="宋体" w:hAnsi="宋体"/>
              </w:rPr>
            </w:pPr>
          </w:p>
        </w:tc>
        <w:tc>
          <w:tcPr>
            <w:tcW w:w="1701" w:type="dxa"/>
            <w:tcBorders>
              <w:top w:val="single" w:color="auto" w:sz="4" w:space="0"/>
            </w:tcBorders>
            <w:vAlign w:val="center"/>
          </w:tcPr>
          <w:p>
            <w:pPr>
              <w:tabs>
                <w:tab w:val="left" w:pos="1152"/>
              </w:tabs>
              <w:spacing w:line="440" w:lineRule="exact"/>
              <w:ind w:right="72"/>
              <w:jc w:val="center"/>
              <w:rPr>
                <w:rFonts w:ascii="宋体" w:hAnsi="宋体"/>
              </w:rPr>
            </w:pPr>
            <w:r>
              <w:rPr>
                <w:rFonts w:hint="eastAsia" w:ascii="宋体" w:hAnsi="宋体"/>
              </w:rPr>
              <w:t>1</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rPr>
                <w:rFonts w:ascii="宋体" w:hAnsi="宋体"/>
              </w:rPr>
            </w:pPr>
            <w:r>
              <w:rPr>
                <w:rFonts w:hint="eastAsia" w:ascii="宋体" w:hAnsi="宋体"/>
              </w:rPr>
              <w:t>二、附送件</w:t>
            </w:r>
          </w:p>
        </w:tc>
        <w:tc>
          <w:tcPr>
            <w:tcW w:w="871" w:type="dxa"/>
            <w:vAlign w:val="center"/>
          </w:tcPr>
          <w:p>
            <w:pPr>
              <w:spacing w:line="440" w:lineRule="exact"/>
              <w:rPr>
                <w:rFonts w:ascii="宋体" w:hAnsi="宋体"/>
              </w:rPr>
            </w:pPr>
          </w:p>
        </w:tc>
        <w:tc>
          <w:tcPr>
            <w:tcW w:w="1701" w:type="dxa"/>
            <w:vAlign w:val="center"/>
          </w:tcPr>
          <w:p>
            <w:pPr>
              <w:tabs>
                <w:tab w:val="left" w:pos="1152"/>
              </w:tabs>
              <w:spacing w:line="440" w:lineRule="exact"/>
              <w:ind w:right="72"/>
              <w:jc w:val="center"/>
              <w:rPr>
                <w:rFonts w:ascii="宋体" w:hAnsi="宋体"/>
              </w:rPr>
            </w:pP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firstLine="544" w:firstLineChars="259"/>
              <w:rPr>
                <w:rFonts w:ascii="宋体" w:hAnsi="宋体"/>
              </w:rPr>
            </w:pPr>
            <w:r>
              <w:rPr>
                <w:rFonts w:hint="eastAsia" w:ascii="宋体" w:hAnsi="宋体"/>
              </w:rPr>
              <w:t>2015年12月31日资产负债表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2</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2015年度业务活动表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3</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2015年度服务成本表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4</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2015年度费用表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5</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2015年度政府资助收支表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6</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现金流量表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7</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基础数字表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8</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财务指标表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9</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left="569"/>
              <w:rPr>
                <w:rFonts w:ascii="宋体" w:hAnsi="宋体"/>
              </w:rPr>
            </w:pPr>
            <w:r>
              <w:rPr>
                <w:rFonts w:hint="eastAsia" w:ascii="宋体" w:hAnsi="宋体"/>
              </w:rPr>
              <w:t>财务报表附注</w:t>
            </w:r>
          </w:p>
        </w:tc>
        <w:tc>
          <w:tcPr>
            <w:tcW w:w="871" w:type="dxa"/>
            <w:vAlign w:val="center"/>
          </w:tcPr>
          <w:p>
            <w:pPr>
              <w:spacing w:line="440" w:lineRule="exact"/>
              <w:ind w:left="749"/>
              <w:rPr>
                <w:rFonts w:ascii="宋体" w:hAnsi="宋体"/>
              </w:rPr>
            </w:pPr>
          </w:p>
        </w:tc>
        <w:tc>
          <w:tcPr>
            <w:tcW w:w="1701" w:type="dxa"/>
            <w:vAlign w:val="center"/>
          </w:tcPr>
          <w:p>
            <w:pPr>
              <w:tabs>
                <w:tab w:val="left" w:pos="1152"/>
              </w:tabs>
              <w:spacing w:line="440" w:lineRule="exact"/>
              <w:ind w:right="72"/>
              <w:jc w:val="center"/>
              <w:rPr>
                <w:rFonts w:ascii="宋体" w:hAnsi="宋体"/>
              </w:rPr>
            </w:pPr>
            <w:r>
              <w:rPr>
                <w:rFonts w:hint="eastAsia" w:ascii="宋体" w:hAnsi="宋体"/>
              </w:rPr>
              <w:t>10-16</w:t>
            </w: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rPr>
                <w:rFonts w:ascii="宋体" w:hAnsi="宋体"/>
              </w:rPr>
            </w:pPr>
            <w:r>
              <w:rPr>
                <w:rFonts w:hint="eastAsia" w:ascii="宋体" w:hAnsi="宋体"/>
              </w:rPr>
              <w:t>三、本所《执业证书》复印件</w:t>
            </w:r>
          </w:p>
        </w:tc>
        <w:tc>
          <w:tcPr>
            <w:tcW w:w="871" w:type="dxa"/>
            <w:vAlign w:val="center"/>
          </w:tcPr>
          <w:p>
            <w:pPr>
              <w:spacing w:line="440" w:lineRule="exact"/>
              <w:rPr>
                <w:rFonts w:ascii="宋体" w:hAnsi="宋体"/>
              </w:rPr>
            </w:pPr>
          </w:p>
        </w:tc>
        <w:tc>
          <w:tcPr>
            <w:tcW w:w="1701" w:type="dxa"/>
            <w:vAlign w:val="center"/>
          </w:tcPr>
          <w:p>
            <w:pPr>
              <w:spacing w:line="440" w:lineRule="exact"/>
              <w:jc w:val="center"/>
              <w:rPr>
                <w:rFonts w:ascii="宋体" w:hAnsi="宋体"/>
              </w:rPr>
            </w:pPr>
          </w:p>
        </w:tc>
      </w:tr>
      <w:tr>
        <w:tblPrEx>
          <w:tblLayout w:type="fixed"/>
          <w:tblCellMar>
            <w:top w:w="0" w:type="dxa"/>
            <w:left w:w="108" w:type="dxa"/>
            <w:bottom w:w="0" w:type="dxa"/>
            <w:right w:w="108" w:type="dxa"/>
          </w:tblCellMar>
        </w:tblPrEx>
        <w:trPr>
          <w:trHeight w:val="624" w:hRule="exact"/>
        </w:trPr>
        <w:tc>
          <w:tcPr>
            <w:tcW w:w="4799" w:type="dxa"/>
            <w:vAlign w:val="center"/>
          </w:tcPr>
          <w:p>
            <w:pPr>
              <w:spacing w:line="440" w:lineRule="exact"/>
              <w:ind w:firstLine="420" w:firstLineChars="200"/>
              <w:rPr>
                <w:rFonts w:ascii="宋体" w:hAnsi="宋体"/>
              </w:rPr>
            </w:pPr>
            <w:r>
              <w:rPr>
                <w:rFonts w:hint="eastAsia" w:ascii="宋体" w:hAnsi="宋体"/>
              </w:rPr>
              <w:t xml:space="preserve">本所《非法人企业营业执照》复印件                                  </w:t>
            </w:r>
          </w:p>
        </w:tc>
        <w:tc>
          <w:tcPr>
            <w:tcW w:w="871" w:type="dxa"/>
            <w:vAlign w:val="center"/>
          </w:tcPr>
          <w:p>
            <w:pPr>
              <w:spacing w:line="440" w:lineRule="exact"/>
              <w:rPr>
                <w:rFonts w:ascii="宋体" w:hAnsi="宋体"/>
              </w:rPr>
            </w:pPr>
          </w:p>
        </w:tc>
        <w:tc>
          <w:tcPr>
            <w:tcW w:w="1701" w:type="dxa"/>
            <w:vAlign w:val="center"/>
          </w:tcPr>
          <w:p>
            <w:pPr>
              <w:spacing w:line="440" w:lineRule="exact"/>
              <w:jc w:val="center"/>
              <w:rPr>
                <w:rFonts w:ascii="宋体" w:hAnsi="宋体"/>
              </w:rPr>
            </w:pPr>
          </w:p>
        </w:tc>
      </w:tr>
    </w:tbl>
    <w:p>
      <w:pPr>
        <w:snapToGrid w:val="0"/>
        <w:spacing w:line="440" w:lineRule="exact"/>
        <w:jc w:val="center"/>
        <w:rPr>
          <w:rFonts w:ascii="宋体" w:hAnsi="宋体"/>
          <w:color w:val="000000"/>
          <w:sz w:val="44"/>
        </w:rPr>
        <w:sectPr>
          <w:headerReference r:id="rId5" w:type="first"/>
          <w:footerReference r:id="rId8" w:type="first"/>
          <w:headerReference r:id="rId3" w:type="default"/>
          <w:footerReference r:id="rId6" w:type="default"/>
          <w:headerReference r:id="rId4" w:type="even"/>
          <w:footerReference r:id="rId7" w:type="even"/>
          <w:pgSz w:w="11906" w:h="16838"/>
          <w:pgMar w:top="1276" w:right="924" w:bottom="1440" w:left="1797" w:header="426" w:footer="992" w:gutter="0"/>
          <w:pgNumType w:start="0"/>
          <w:cols w:space="425" w:num="1"/>
          <w:titlePg/>
          <w:docGrid w:type="lines" w:linePitch="312" w:charSpace="0"/>
        </w:sectPr>
      </w:pPr>
    </w:p>
    <w:p>
      <w:pPr>
        <w:spacing w:beforeLines="50" w:line="360" w:lineRule="exact"/>
        <w:ind w:firstLine="393" w:firstLineChars="187"/>
        <w:rPr>
          <w:rFonts w:ascii="仿宋_GB2312" w:hAnsi="宋体" w:eastAsia="仿宋_GB2312"/>
          <w:b/>
          <w:bCs/>
        </w:rPr>
      </w:pPr>
      <w:r>
        <w:rPr>
          <w:rFonts w:hint="eastAsia" w:ascii="宋体" w:hAnsi="宋体"/>
          <w:szCs w:val="21"/>
        </w:rPr>
        <w:t xml:space="preserve">                                                    </w:t>
      </w:r>
      <w:r>
        <w:rPr>
          <w:rFonts w:hint="eastAsia" w:ascii="宋体" w:hAnsi="宋体"/>
          <w:b/>
          <w:szCs w:val="21"/>
        </w:rPr>
        <w:t xml:space="preserve">    </w:t>
      </w:r>
      <w:r>
        <w:rPr>
          <w:rFonts w:hint="eastAsia" w:ascii="仿宋_GB2312" w:hAnsi="宋体" w:eastAsia="仿宋_GB2312"/>
          <w:b/>
          <w:bCs/>
        </w:rPr>
        <w:t>深正专审字(2016)第019号</w:t>
      </w:r>
    </w:p>
    <w:p>
      <w:pPr>
        <w:spacing w:line="520" w:lineRule="exact"/>
        <w:jc w:val="center"/>
        <w:rPr>
          <w:rFonts w:ascii="仿宋_GB2312" w:eastAsia="仿宋_GB2312"/>
          <w:b/>
          <w:sz w:val="36"/>
        </w:rPr>
      </w:pPr>
      <w:r>
        <w:rPr>
          <w:rFonts w:hint="eastAsia" w:ascii="仿宋_GB2312" w:eastAsia="仿宋_GB2312"/>
          <w:b/>
          <w:sz w:val="36"/>
        </w:rPr>
        <w:t>审计报告</w:t>
      </w:r>
    </w:p>
    <w:p>
      <w:pPr>
        <w:spacing w:line="460" w:lineRule="exact"/>
        <w:ind w:left="-2" w:leftChars="-1"/>
        <w:rPr>
          <w:rFonts w:ascii="仿宋_GB2312" w:hAnsi="宋体" w:eastAsia="仿宋_GB2312" w:cs="宋体"/>
          <w:b/>
          <w:bCs/>
          <w:sz w:val="24"/>
        </w:rPr>
      </w:pPr>
      <w:r>
        <w:rPr>
          <w:rFonts w:hint="eastAsia" w:ascii="仿宋_GB2312" w:hAnsi="宋体" w:eastAsia="仿宋_GB2312" w:cs="宋体"/>
          <w:b/>
          <w:bCs/>
          <w:sz w:val="24"/>
        </w:rPr>
        <w:t>深圳市罗湖区阳光新干线幼儿园：</w:t>
      </w:r>
    </w:p>
    <w:p>
      <w:pPr>
        <w:spacing w:beforeLines="50" w:line="360" w:lineRule="exact"/>
        <w:ind w:firstLine="394" w:firstLineChars="187"/>
        <w:rPr>
          <w:rFonts w:ascii="仿宋_GB2312" w:hAnsi="宋体" w:eastAsia="仿宋_GB2312"/>
          <w:b/>
        </w:rPr>
      </w:pPr>
      <w:r>
        <w:rPr>
          <w:rFonts w:hint="eastAsia" w:ascii="仿宋_GB2312" w:hAnsi="宋体" w:eastAsia="仿宋_GB2312"/>
          <w:b/>
        </w:rPr>
        <w:t>我们接受委托，审计了后附的</w:t>
      </w:r>
      <w:r>
        <w:rPr>
          <w:rFonts w:hint="eastAsia" w:ascii="仿宋_GB2312" w:hAnsi="宋体" w:eastAsia="仿宋_GB2312"/>
          <w:b/>
          <w:bCs/>
        </w:rPr>
        <w:t>深圳市罗湖区阳光新干线幼儿园</w:t>
      </w:r>
      <w:r>
        <w:rPr>
          <w:rFonts w:hint="eastAsia" w:ascii="仿宋_GB2312" w:hAnsi="宋体" w:eastAsia="仿宋_GB2312"/>
          <w:b/>
        </w:rPr>
        <w:t>财务报表，包括2015年12月31日的资产负债表，2015年度的业务活动表、保教活动成本表、费用表、政府资助收支表、现金流量表、基本数字表、财务指标表及财务报表附注，并根据主管部门的要求，审计了财务管理的有关情况。</w:t>
      </w:r>
    </w:p>
    <w:p>
      <w:pPr>
        <w:spacing w:beforeLines="50" w:afterLines="50" w:line="380" w:lineRule="exact"/>
        <w:ind w:firstLine="394" w:firstLineChars="187"/>
        <w:rPr>
          <w:rFonts w:ascii="仿宋_GB2312" w:hAnsi="宋体" w:eastAsia="仿宋_GB2312"/>
          <w:b/>
          <w:szCs w:val="28"/>
        </w:rPr>
      </w:pPr>
      <w:r>
        <w:rPr>
          <w:rFonts w:hint="eastAsia" w:ascii="仿宋_GB2312" w:hAnsi="宋体" w:eastAsia="仿宋_GB2312"/>
          <w:b/>
          <w:szCs w:val="28"/>
        </w:rPr>
        <w:t>一、管理层对财务报表的责任</w:t>
      </w:r>
    </w:p>
    <w:p>
      <w:pPr>
        <w:spacing w:line="380" w:lineRule="exact"/>
        <w:ind w:firstLine="394" w:firstLineChars="187"/>
        <w:rPr>
          <w:rFonts w:ascii="仿宋_GB2312" w:hAnsi="宋体" w:eastAsia="仿宋_GB2312"/>
          <w:b/>
        </w:rPr>
      </w:pPr>
      <w:r>
        <w:rPr>
          <w:rFonts w:hint="eastAsia" w:ascii="仿宋_GB2312" w:hAnsi="宋体" w:eastAsia="仿宋_GB2312"/>
          <w:b/>
        </w:rPr>
        <w:t>编制和公允列报财务报表是幼儿园管理层的责任。这种责任包括：1.按照《深圳市民办幼儿园财务管理办法（试行）》的规定编制财务报表，对会计资料的真实性、合法性和完整性负责，使其实现公允反映；2.设计、实施和维护必要的内部控制，以使财务报表不存在由于舞弊或错误而导致的重大错报。3.作出合理的会计估计。</w:t>
      </w:r>
    </w:p>
    <w:p>
      <w:pPr>
        <w:spacing w:line="380" w:lineRule="exact"/>
        <w:ind w:firstLine="394" w:firstLineChars="187"/>
        <w:rPr>
          <w:rFonts w:ascii="仿宋_GB2312" w:hAnsi="宋体" w:eastAsia="仿宋_GB2312"/>
          <w:b/>
          <w:szCs w:val="28"/>
        </w:rPr>
      </w:pPr>
      <w:r>
        <w:rPr>
          <w:rFonts w:hint="eastAsia" w:ascii="仿宋_GB2312" w:hAnsi="宋体" w:eastAsia="仿宋_GB2312"/>
          <w:b/>
          <w:szCs w:val="28"/>
        </w:rPr>
        <w:t>二、注册会计师的责任</w:t>
      </w:r>
    </w:p>
    <w:p>
      <w:pPr>
        <w:spacing w:line="360" w:lineRule="exact"/>
        <w:ind w:firstLine="394" w:firstLineChars="187"/>
        <w:rPr>
          <w:rFonts w:ascii="仿宋_GB2312" w:hAnsi="宋体" w:eastAsia="仿宋_GB2312"/>
          <w:b/>
        </w:rPr>
      </w:pPr>
      <w:r>
        <w:rPr>
          <w:rFonts w:hint="eastAsia" w:ascii="仿宋_GB2312" w:hAnsi="宋体" w:eastAsia="仿宋_GB2312"/>
          <w:b/>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pPr>
        <w:spacing w:line="360" w:lineRule="exact"/>
        <w:ind w:firstLine="394" w:firstLineChars="187"/>
        <w:rPr>
          <w:rFonts w:ascii="仿宋_GB2312" w:hAnsi="宋体" w:eastAsia="仿宋_GB2312"/>
          <w:b/>
        </w:rPr>
      </w:pPr>
      <w:r>
        <w:rPr>
          <w:rFonts w:hint="eastAsia" w:ascii="仿宋_GB2312" w:hAnsi="宋体" w:eastAsia="仿宋_GB2312"/>
          <w:b/>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pPr>
        <w:spacing w:line="360" w:lineRule="exact"/>
        <w:ind w:firstLine="394" w:firstLineChars="187"/>
        <w:rPr>
          <w:rFonts w:ascii="仿宋_GB2312" w:hAnsi="宋体" w:eastAsia="仿宋_GB2312"/>
          <w:b/>
        </w:rPr>
      </w:pPr>
      <w:r>
        <w:rPr>
          <w:rFonts w:hint="eastAsia" w:ascii="仿宋_GB2312" w:hAnsi="宋体" w:eastAsia="仿宋_GB2312"/>
          <w:b/>
        </w:rPr>
        <w:t>我们相信，我们获取的审计证据是充分、适当的，为发表审计意见提供了基础。</w:t>
      </w:r>
    </w:p>
    <w:p>
      <w:pPr>
        <w:spacing w:line="380" w:lineRule="exact"/>
        <w:ind w:firstLine="394" w:firstLineChars="187"/>
        <w:rPr>
          <w:rFonts w:ascii="仿宋_GB2312" w:hAnsi="宋体" w:eastAsia="仿宋_GB2312"/>
          <w:b/>
          <w:szCs w:val="28"/>
        </w:rPr>
      </w:pPr>
      <w:r>
        <w:rPr>
          <w:rFonts w:hint="eastAsia" w:ascii="仿宋_GB2312" w:hAnsi="宋体" w:eastAsia="仿宋_GB2312"/>
          <w:b/>
          <w:szCs w:val="28"/>
        </w:rPr>
        <w:t>三、审计意见</w:t>
      </w:r>
    </w:p>
    <w:p>
      <w:pPr>
        <w:spacing w:line="380" w:lineRule="exact"/>
        <w:ind w:firstLine="422" w:firstLineChars="200"/>
        <w:rPr>
          <w:rFonts w:ascii="仿宋_GB2312" w:hAnsi="宋体" w:eastAsia="仿宋_GB2312"/>
          <w:b/>
        </w:rPr>
      </w:pPr>
      <w:r>
        <w:rPr>
          <w:rFonts w:hint="eastAsia" w:ascii="仿宋_GB2312" w:hAnsi="宋体" w:eastAsia="仿宋_GB2312"/>
          <w:b/>
        </w:rPr>
        <w:t>我们认为，除附注四、五说明的事项外，</w:t>
      </w:r>
      <w:r>
        <w:rPr>
          <w:rFonts w:hint="eastAsia" w:ascii="仿宋_GB2312" w:hAnsi="宋体" w:eastAsia="仿宋_GB2312"/>
          <w:b/>
          <w:bCs/>
        </w:rPr>
        <w:t>深圳市罗湖区阳光新干线幼儿园</w:t>
      </w:r>
      <w:r>
        <w:rPr>
          <w:rFonts w:hint="eastAsia" w:ascii="仿宋_GB2312" w:hAnsi="宋体" w:eastAsia="仿宋_GB2312"/>
          <w:b/>
        </w:rPr>
        <w:t>财务报表在所有重大方面按照《深圳市民办幼儿园财务管理办法（试行）》及其他有关法律法规的规定编制，</w:t>
      </w:r>
      <w:bookmarkStart w:id="0" w:name="OLE_LINK4"/>
      <w:bookmarkStart w:id="1" w:name="OLE_LINK3"/>
      <w:r>
        <w:rPr>
          <w:rFonts w:hint="eastAsia" w:ascii="仿宋_GB2312" w:hAnsi="宋体" w:eastAsia="仿宋_GB2312"/>
          <w:b/>
        </w:rPr>
        <w:t>公允反映了</w:t>
      </w:r>
      <w:r>
        <w:rPr>
          <w:rFonts w:hint="eastAsia" w:ascii="仿宋_GB2312" w:hAnsi="宋体" w:eastAsia="仿宋_GB2312"/>
          <w:b/>
          <w:bCs/>
        </w:rPr>
        <w:t>深圳市罗湖区阳光新干线幼儿园2015</w:t>
      </w:r>
      <w:r>
        <w:rPr>
          <w:rFonts w:hint="eastAsia" w:ascii="仿宋_GB2312" w:hAnsi="宋体" w:eastAsia="仿宋_GB2312"/>
          <w:b/>
        </w:rPr>
        <w:t>年12月31日的财务状况以及</w:t>
      </w:r>
      <w:bookmarkEnd w:id="0"/>
      <w:bookmarkEnd w:id="1"/>
      <w:r>
        <w:rPr>
          <w:rFonts w:hint="eastAsia" w:ascii="仿宋_GB2312" w:hAnsi="宋体" w:eastAsia="仿宋_GB2312"/>
          <w:b/>
        </w:rPr>
        <w:t>2015年度的业务成果。</w:t>
      </w:r>
    </w:p>
    <w:p>
      <w:pPr>
        <w:spacing w:line="480" w:lineRule="exact"/>
        <w:ind w:left="5147" w:leftChars="2394" w:hanging="120" w:hangingChars="50"/>
        <w:rPr>
          <w:rFonts w:ascii="仿宋_GB2312" w:hAnsi="宋体" w:eastAsia="仿宋_GB2312"/>
          <w:b/>
          <w:sz w:val="24"/>
        </w:rPr>
      </w:pPr>
      <w:r>
        <w:rPr>
          <w:rFonts w:hint="eastAsia" w:ascii="仿宋_GB2312" w:hAnsi="宋体" w:eastAsia="仿宋_GB2312"/>
          <w:b/>
          <w:sz w:val="24"/>
        </w:rPr>
        <w:t xml:space="preserve">                              </w:t>
      </w:r>
    </w:p>
    <w:p>
      <w:pPr>
        <w:spacing w:line="480" w:lineRule="exact"/>
        <w:ind w:left="5147" w:leftChars="2451"/>
        <w:rPr>
          <w:rFonts w:ascii="仿宋_GB2312" w:hAnsi="宋体" w:eastAsia="仿宋_GB2312"/>
          <w:b/>
          <w:sz w:val="24"/>
        </w:rPr>
      </w:pPr>
      <w:r>
        <w:rPr>
          <w:rFonts w:hint="eastAsia" w:ascii="仿宋_GB2312" w:hAnsi="宋体" w:eastAsia="仿宋_GB2312"/>
          <w:b/>
          <w:sz w:val="24"/>
        </w:rPr>
        <w:t>中国注册会计师：</w:t>
      </w:r>
    </w:p>
    <w:p>
      <w:pPr>
        <w:tabs>
          <w:tab w:val="left" w:pos="4111"/>
          <w:tab w:val="left" w:pos="5529"/>
        </w:tabs>
        <w:spacing w:line="480" w:lineRule="exact"/>
        <w:ind w:left="-21" w:leftChars="-10" w:firstLine="361" w:firstLineChars="150"/>
        <w:rPr>
          <w:rFonts w:ascii="仿宋_GB2312" w:hAnsi="宋体" w:eastAsia="仿宋_GB2312"/>
          <w:b/>
          <w:sz w:val="24"/>
        </w:rPr>
      </w:pPr>
      <w:r>
        <w:rPr>
          <w:rFonts w:hint="eastAsia" w:ascii="仿宋_GB2312" w:hAnsi="宋体" w:eastAsia="仿宋_GB2312"/>
          <w:b/>
          <w:sz w:val="24"/>
        </w:rPr>
        <w:t xml:space="preserve">深圳正宏会计师事务所（普通合伙）                                  </w:t>
      </w:r>
    </w:p>
    <w:p>
      <w:pPr>
        <w:tabs>
          <w:tab w:val="left" w:pos="4111"/>
          <w:tab w:val="left" w:pos="5529"/>
        </w:tabs>
        <w:spacing w:line="480" w:lineRule="exact"/>
        <w:ind w:firstLine="723" w:firstLineChars="300"/>
        <w:rPr>
          <w:rFonts w:ascii="仿宋_GB2312" w:hAnsi="宋体" w:eastAsia="仿宋_GB2312"/>
          <w:b/>
          <w:sz w:val="24"/>
        </w:rPr>
      </w:pPr>
      <w:r>
        <w:rPr>
          <w:rFonts w:hint="eastAsia" w:ascii="仿宋_GB2312" w:hAnsi="宋体" w:eastAsia="仿宋_GB2312"/>
          <w:b/>
          <w:sz w:val="24"/>
        </w:rPr>
        <w:t xml:space="preserve">   中国·深圳                        中国注册会计师：            </w:t>
      </w:r>
    </w:p>
    <w:p>
      <w:pPr>
        <w:spacing w:line="400" w:lineRule="exact"/>
        <w:ind w:left="569" w:leftChars="271"/>
        <w:rPr>
          <w:rFonts w:ascii="仿宋_GB2312" w:hAnsi="宋体" w:eastAsia="仿宋_GB2312"/>
          <w:b/>
          <w:sz w:val="24"/>
        </w:rPr>
        <w:sectPr>
          <w:headerReference r:id="rId9" w:type="default"/>
          <w:footerReference r:id="rId10" w:type="default"/>
          <w:pgSz w:w="11906" w:h="16838"/>
          <w:pgMar w:top="1361" w:right="1361" w:bottom="1361" w:left="1474" w:header="851" w:footer="992" w:gutter="0"/>
          <w:pgNumType w:start="10"/>
          <w:cols w:space="425" w:num="1"/>
          <w:docGrid w:type="linesAndChars" w:linePitch="312" w:charSpace="0"/>
        </w:sectPr>
      </w:pPr>
      <w:r>
        <w:rPr>
          <w:rFonts w:hint="eastAsia" w:ascii="仿宋_GB2312" w:hAnsi="宋体" w:eastAsia="仿宋_GB2312"/>
          <w:b/>
          <w:sz w:val="24"/>
        </w:rPr>
        <w:t xml:space="preserve">                                                二O一六年三月八日</w:t>
      </w:r>
    </w:p>
    <w:p>
      <w:pPr>
        <w:spacing w:line="400" w:lineRule="exact"/>
        <w:ind w:left="569" w:leftChars="271"/>
        <w:rPr>
          <w:rFonts w:ascii="仿宋_GB2312" w:hAnsi="宋体" w:eastAsia="仿宋_GB2312"/>
          <w:sz w:val="24"/>
        </w:rPr>
      </w:pPr>
    </w:p>
    <w:p>
      <w:pPr>
        <w:jc w:val="center"/>
        <w:rPr>
          <w:rFonts w:eastAsia="黑体"/>
          <w:b/>
          <w:sz w:val="32"/>
        </w:rPr>
      </w:pPr>
      <w:r>
        <w:rPr>
          <w:rFonts w:hint="eastAsia" w:eastAsia="黑体"/>
          <w:b/>
          <w:sz w:val="32"/>
        </w:rPr>
        <w:t>深圳市罗湖区阳光新干线幼儿园</w:t>
      </w:r>
    </w:p>
    <w:p>
      <w:pPr>
        <w:jc w:val="center"/>
        <w:rPr>
          <w:rFonts w:eastAsia="黑体"/>
          <w:b/>
          <w:sz w:val="32"/>
        </w:rPr>
      </w:pPr>
      <w:r>
        <w:rPr>
          <w:rFonts w:hint="eastAsia" w:eastAsia="黑体"/>
          <w:b/>
          <w:sz w:val="32"/>
        </w:rPr>
        <w:t>会计报表附注</w:t>
      </w:r>
    </w:p>
    <w:p>
      <w:pPr>
        <w:spacing w:line="300" w:lineRule="exact"/>
        <w:jc w:val="center"/>
        <w:rPr>
          <w:rFonts w:ascii="仿宋_GB2312" w:hAnsi="宋体" w:eastAsia="仿宋_GB2312"/>
          <w:b/>
          <w:sz w:val="24"/>
        </w:rPr>
      </w:pPr>
    </w:p>
    <w:p>
      <w:pPr>
        <w:jc w:val="center"/>
        <w:rPr>
          <w:rFonts w:eastAsia="黑体"/>
          <w:b/>
          <w:sz w:val="32"/>
        </w:rPr>
      </w:pPr>
      <w:r>
        <w:rPr>
          <w:rFonts w:hint="eastAsia"/>
        </w:rPr>
        <w:t>二</w:t>
      </w:r>
      <w:r>
        <w:rPr>
          <w:rFonts w:hint="eastAsia" w:ascii="宋体" w:hAnsi="宋体"/>
        </w:rPr>
        <w:t>○</w:t>
      </w:r>
      <w:r>
        <w:rPr>
          <w:rFonts w:hint="eastAsia"/>
        </w:rPr>
        <w:t xml:space="preserve">一五年度   </w:t>
      </w:r>
    </w:p>
    <w:p>
      <w:pPr>
        <w:spacing w:line="440" w:lineRule="exact"/>
        <w:ind w:right="-7"/>
        <w:rPr>
          <w:color w:val="000000"/>
          <w:u w:val="single"/>
        </w:rPr>
      </w:pPr>
      <w:r>
        <w:rPr>
          <w:rFonts w:hint="eastAsia"/>
          <w:color w:val="000000"/>
          <w:kern w:val="0"/>
          <w:sz w:val="24"/>
          <w:u w:val="single"/>
        </w:rPr>
        <w:t xml:space="preserve">                                         （</w:t>
      </w:r>
      <w:r>
        <w:rPr>
          <w:color w:val="000000"/>
          <w:kern w:val="0"/>
          <w:sz w:val="24"/>
          <w:u w:val="single"/>
        </w:rPr>
        <w:t>除特别注明外</w:t>
      </w:r>
      <w:r>
        <w:rPr>
          <w:rFonts w:hint="eastAsia"/>
          <w:color w:val="000000"/>
          <w:kern w:val="0"/>
          <w:sz w:val="24"/>
          <w:u w:val="single"/>
        </w:rPr>
        <w:t>，</w:t>
      </w:r>
      <w:r>
        <w:rPr>
          <w:color w:val="000000"/>
          <w:kern w:val="0"/>
          <w:sz w:val="24"/>
          <w:u w:val="single"/>
        </w:rPr>
        <w:t>金额单位为人民币元</w:t>
      </w:r>
      <w:r>
        <w:rPr>
          <w:rFonts w:hint="eastAsia"/>
          <w:color w:val="000000"/>
          <w:kern w:val="0"/>
          <w:sz w:val="24"/>
          <w:u w:val="single"/>
        </w:rPr>
        <w:t>）</w:t>
      </w:r>
    </w:p>
    <w:p>
      <w:pPr>
        <w:spacing w:line="500" w:lineRule="exact"/>
        <w:rPr>
          <w:rFonts w:ascii="仿宋_GB2312" w:hAnsi="宋体" w:eastAsia="仿宋_GB2312"/>
          <w:b/>
          <w:sz w:val="24"/>
        </w:rPr>
      </w:pPr>
      <w:r>
        <w:rPr>
          <w:rFonts w:hint="eastAsia" w:ascii="仿宋_GB2312" w:hAnsi="宋体" w:eastAsia="仿宋_GB2312"/>
          <w:b/>
          <w:sz w:val="24"/>
        </w:rPr>
        <w:t>一、基本情况</w:t>
      </w:r>
    </w:p>
    <w:p>
      <w:pPr>
        <w:spacing w:line="460" w:lineRule="exact"/>
        <w:ind w:firstLine="480" w:firstLineChars="200"/>
        <w:rPr>
          <w:rFonts w:ascii="仿宋_GB2312" w:hAnsi="宋体" w:eastAsia="仿宋_GB2312" w:cs="宋体"/>
          <w:sz w:val="24"/>
          <w:szCs w:val="24"/>
        </w:rPr>
      </w:pPr>
      <w:r>
        <w:rPr>
          <w:rFonts w:hint="eastAsia" w:ascii="仿宋_GB2312" w:hAnsi="宋体" w:eastAsia="仿宋_GB2312"/>
          <w:sz w:val="24"/>
        </w:rPr>
        <w:t>深圳市罗湖区阳光新干线幼儿园</w:t>
      </w:r>
      <w:r>
        <w:rPr>
          <w:rFonts w:hint="eastAsia" w:ascii="仿宋_GB2312" w:hAnsi="宋体" w:eastAsia="仿宋_GB2312" w:cs="宋体"/>
          <w:sz w:val="24"/>
          <w:szCs w:val="24"/>
        </w:rPr>
        <w:t>系经深圳市罗湖区教育局批准，领取了教民</w:t>
      </w:r>
      <w:r>
        <w:rPr>
          <w:rFonts w:ascii="仿宋_GB2312" w:hAnsi="宋体" w:eastAsia="仿宋_GB2312" w:cs="宋体"/>
          <w:sz w:val="24"/>
          <w:szCs w:val="24"/>
        </w:rPr>
        <w:t>[144030360000941]</w:t>
      </w:r>
      <w:r>
        <w:rPr>
          <w:rFonts w:hint="eastAsia" w:ascii="仿宋_GB2312" w:hAnsi="宋体" w:eastAsia="仿宋_GB2312" w:cs="宋体"/>
          <w:sz w:val="24"/>
          <w:szCs w:val="24"/>
        </w:rPr>
        <w:t>号《中华人民共和国民办学校办学许可证》，并领取了深圳市罗湖区民政局颁发的</w:t>
      </w:r>
      <w:r>
        <w:rPr>
          <w:rFonts w:ascii="仿宋_GB2312" w:hAnsi="宋体" w:eastAsia="仿宋_GB2312" w:cs="宋体"/>
          <w:sz w:val="24"/>
          <w:szCs w:val="24"/>
        </w:rPr>
        <w:t>[</w:t>
      </w:r>
      <w:r>
        <w:rPr>
          <w:rFonts w:hint="eastAsia" w:ascii="仿宋_GB2312" w:hAnsi="宋体" w:eastAsia="仿宋_GB2312" w:cs="宋体"/>
          <w:sz w:val="24"/>
          <w:szCs w:val="24"/>
        </w:rPr>
        <w:t>民证字第</w:t>
      </w:r>
      <w:r>
        <w:rPr>
          <w:rFonts w:ascii="仿宋_GB2312" w:hAnsi="宋体" w:eastAsia="仿宋_GB2312"/>
          <w:sz w:val="24"/>
        </w:rPr>
        <w:t>010125</w:t>
      </w:r>
      <w:r>
        <w:rPr>
          <w:rFonts w:ascii="仿宋_GB2312" w:hAnsi="宋体" w:eastAsia="仿宋_GB2312" w:cs="宋体"/>
          <w:sz w:val="24"/>
          <w:szCs w:val="24"/>
        </w:rPr>
        <w:t>]</w:t>
      </w:r>
      <w:r>
        <w:rPr>
          <w:rFonts w:hint="eastAsia" w:ascii="仿宋_GB2312" w:hAnsi="宋体" w:eastAsia="仿宋_GB2312" w:cs="宋体"/>
          <w:sz w:val="24"/>
          <w:szCs w:val="24"/>
        </w:rPr>
        <w:t>号《民办非企业单位登记证书》。规定事项和基本情况如下：</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办学地址：</w:t>
      </w:r>
      <w:r>
        <w:rPr>
          <w:rFonts w:hint="eastAsia" w:ascii="仿宋_GB2312" w:hAnsi="宋体" w:eastAsia="仿宋_GB2312"/>
          <w:sz w:val="24"/>
        </w:rPr>
        <w:t>深圳市罗湖区东门南路</w:t>
      </w:r>
      <w:r>
        <w:rPr>
          <w:rFonts w:ascii="仿宋_GB2312" w:hAnsi="宋体" w:eastAsia="仿宋_GB2312"/>
          <w:sz w:val="24"/>
        </w:rPr>
        <w:t>1021</w:t>
      </w:r>
      <w:r>
        <w:rPr>
          <w:rFonts w:hint="eastAsia" w:ascii="仿宋_GB2312" w:hAnsi="宋体" w:eastAsia="仿宋_GB2312"/>
          <w:sz w:val="24"/>
        </w:rPr>
        <w:t>号阳光新干线家园小区内</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办学类型：幼儿园</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办学内容：全日制幼儿园</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主管部门：深圳市罗湖区教育局</w:t>
      </w:r>
    </w:p>
    <w:p>
      <w:pPr>
        <w:spacing w:line="460" w:lineRule="exact"/>
        <w:rPr>
          <w:rFonts w:ascii="仿宋_GB2312" w:hAnsi="宋体" w:eastAsia="仿宋_GB2312" w:cs="宋体"/>
          <w:sz w:val="24"/>
          <w:szCs w:val="24"/>
          <w:u w:val="single"/>
        </w:rPr>
      </w:pPr>
      <w:r>
        <w:rPr>
          <w:rFonts w:hint="eastAsia" w:ascii="仿宋_GB2312" w:hAnsi="宋体" w:eastAsia="仿宋_GB2312" w:cs="宋体"/>
          <w:sz w:val="24"/>
          <w:szCs w:val="24"/>
        </w:rPr>
        <w:t>举办者：</w:t>
      </w:r>
      <w:r>
        <w:rPr>
          <w:rFonts w:hint="eastAsia" w:ascii="仿宋_GB2312" w:hAnsi="宋体" w:eastAsia="仿宋_GB2312"/>
          <w:sz w:val="24"/>
        </w:rPr>
        <w:t>文华</w:t>
      </w:r>
      <w:r>
        <w:rPr>
          <w:rFonts w:hint="eastAsia" w:ascii="仿宋_GB2312" w:hAnsi="宋体" w:eastAsia="仿宋_GB2312" w:cs="宋体"/>
          <w:sz w:val="24"/>
          <w:szCs w:val="24"/>
        </w:rPr>
        <w:t>法定代表人：</w:t>
      </w:r>
      <w:r>
        <w:rPr>
          <w:rFonts w:hint="eastAsia" w:ascii="仿宋_GB2312" w:hAnsi="宋体" w:eastAsia="仿宋_GB2312"/>
          <w:sz w:val="24"/>
        </w:rPr>
        <w:t>文华</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园长：姜清红财务负责人：张红</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有效期：</w:t>
      </w:r>
      <w:r>
        <w:rPr>
          <w:rFonts w:ascii="仿宋_GB2312" w:hAnsi="宋体" w:eastAsia="仿宋_GB2312" w:cs="宋体"/>
          <w:sz w:val="24"/>
          <w:szCs w:val="24"/>
        </w:rPr>
        <w:t>2016</w:t>
      </w:r>
      <w:r>
        <w:rPr>
          <w:rFonts w:hint="eastAsia" w:ascii="仿宋_GB2312" w:hAnsi="宋体" w:eastAsia="仿宋_GB2312" w:cs="宋体"/>
          <w:sz w:val="24"/>
          <w:szCs w:val="24"/>
        </w:rPr>
        <w:t>年</w:t>
      </w:r>
      <w:r>
        <w:rPr>
          <w:rFonts w:ascii="仿宋_GB2312" w:hAnsi="宋体" w:eastAsia="仿宋_GB2312" w:cs="宋体"/>
          <w:sz w:val="24"/>
          <w:szCs w:val="24"/>
        </w:rPr>
        <w:t>7</w:t>
      </w:r>
      <w:r>
        <w:rPr>
          <w:rFonts w:hint="eastAsia" w:ascii="仿宋_GB2312" w:hAnsi="宋体" w:eastAsia="仿宋_GB2312" w:cs="宋体"/>
          <w:sz w:val="24"/>
          <w:szCs w:val="24"/>
        </w:rPr>
        <w:t>月</w:t>
      </w:r>
      <w:r>
        <w:rPr>
          <w:rFonts w:ascii="仿宋_GB2312" w:hAnsi="宋体" w:eastAsia="仿宋_GB2312" w:cs="宋体"/>
          <w:sz w:val="24"/>
          <w:szCs w:val="24"/>
        </w:rPr>
        <w:t>15</w:t>
      </w:r>
      <w:r>
        <w:rPr>
          <w:rFonts w:hint="eastAsia" w:ascii="仿宋_GB2312" w:hAnsi="宋体" w:eastAsia="仿宋_GB2312" w:cs="宋体"/>
          <w:sz w:val="24"/>
          <w:szCs w:val="24"/>
        </w:rPr>
        <w:t>日</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要求取得合理回报。</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地税税务登记证号码：</w:t>
      </w:r>
      <w:r>
        <w:rPr>
          <w:rFonts w:ascii="仿宋_GB2312" w:hAnsi="宋体" w:eastAsia="仿宋_GB2312" w:cs="宋体"/>
          <w:sz w:val="24"/>
          <w:szCs w:val="24"/>
        </w:rPr>
        <w:t>440300667073574</w:t>
      </w:r>
      <w:r>
        <w:rPr>
          <w:rFonts w:hint="eastAsia" w:ascii="仿宋_GB2312" w:hAnsi="宋体" w:eastAsia="仿宋_GB2312" w:cs="宋体"/>
          <w:sz w:val="24"/>
          <w:szCs w:val="24"/>
        </w:rPr>
        <w:t>号</w:t>
      </w:r>
    </w:p>
    <w:p>
      <w:pPr>
        <w:spacing w:line="460" w:lineRule="exact"/>
        <w:rPr>
          <w:rFonts w:ascii="仿宋_GB2312" w:hAnsi="宋体" w:eastAsia="仿宋_GB2312" w:cs="宋体"/>
          <w:sz w:val="24"/>
          <w:szCs w:val="24"/>
          <w:u w:val="single"/>
        </w:rPr>
      </w:pPr>
      <w:r>
        <w:rPr>
          <w:rFonts w:hint="eastAsia" w:ascii="仿宋_GB2312" w:hAnsi="宋体" w:eastAsia="仿宋_GB2312" w:cs="宋体"/>
          <w:sz w:val="24"/>
          <w:szCs w:val="24"/>
        </w:rPr>
        <w:t>组织机构代码证号：</w:t>
      </w:r>
      <w:r>
        <w:rPr>
          <w:rFonts w:ascii="仿宋_GB2312" w:hAnsi="宋体" w:eastAsia="仿宋_GB2312" w:cs="宋体"/>
          <w:sz w:val="24"/>
          <w:szCs w:val="24"/>
        </w:rPr>
        <w:t>72987789-4</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收费标准：保教费</w:t>
      </w:r>
      <w:r>
        <w:rPr>
          <w:rFonts w:ascii="仿宋_GB2312" w:hAnsi="宋体" w:eastAsia="仿宋_GB2312" w:cs="宋体"/>
          <w:sz w:val="24"/>
          <w:szCs w:val="24"/>
          <w:u w:val="single"/>
        </w:rPr>
        <w:t xml:space="preserve"> 1200 </w:t>
      </w:r>
      <w:r>
        <w:rPr>
          <w:rFonts w:hint="eastAsia" w:ascii="仿宋_GB2312" w:hAnsi="宋体" w:eastAsia="仿宋_GB2312" w:cs="宋体"/>
          <w:sz w:val="24"/>
          <w:szCs w:val="24"/>
        </w:rPr>
        <w:t>元</w:t>
      </w:r>
      <w:r>
        <w:rPr>
          <w:rFonts w:ascii="仿宋_GB2312" w:hAnsi="宋体" w:eastAsia="仿宋_GB2312" w:cs="宋体"/>
          <w:sz w:val="24"/>
          <w:szCs w:val="24"/>
        </w:rPr>
        <w:t>/</w:t>
      </w:r>
      <w:r>
        <w:rPr>
          <w:rFonts w:hint="eastAsia" w:ascii="仿宋_GB2312" w:hAnsi="宋体" w:eastAsia="仿宋_GB2312" w:cs="宋体"/>
          <w:sz w:val="24"/>
          <w:szCs w:val="24"/>
        </w:rPr>
        <w:t>月、伙食费</w:t>
      </w:r>
      <w:r>
        <w:rPr>
          <w:rFonts w:ascii="仿宋_GB2312" w:hAnsi="宋体" w:eastAsia="仿宋_GB2312" w:cs="宋体"/>
          <w:sz w:val="24"/>
          <w:szCs w:val="24"/>
          <w:u w:val="single"/>
        </w:rPr>
        <w:t xml:space="preserve"> 250</w:t>
      </w:r>
      <w:r>
        <w:rPr>
          <w:rFonts w:hint="eastAsia" w:ascii="仿宋_GB2312" w:hAnsi="宋体" w:eastAsia="仿宋_GB2312" w:cs="宋体"/>
          <w:sz w:val="24"/>
          <w:szCs w:val="24"/>
        </w:rPr>
        <w:t>元</w:t>
      </w:r>
      <w:r>
        <w:rPr>
          <w:rFonts w:ascii="仿宋_GB2312" w:hAnsi="宋体" w:eastAsia="仿宋_GB2312" w:cs="宋体"/>
          <w:sz w:val="24"/>
          <w:szCs w:val="24"/>
        </w:rPr>
        <w:t>/</w:t>
      </w:r>
      <w:r>
        <w:rPr>
          <w:rFonts w:hint="eastAsia" w:ascii="仿宋_GB2312" w:hAnsi="宋体" w:eastAsia="仿宋_GB2312" w:cs="宋体"/>
          <w:sz w:val="24"/>
          <w:szCs w:val="24"/>
        </w:rPr>
        <w:t>月、</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基本账户开户银行：</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账号：</w:t>
      </w:r>
      <w:r>
        <w:rPr>
          <w:rFonts w:ascii="仿宋_GB2312" w:hAnsi="宋体" w:eastAsia="仿宋_GB2312" w:cs="宋体"/>
          <w:sz w:val="24"/>
          <w:szCs w:val="24"/>
        </w:rPr>
        <w:t>4000024009200079303</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三方共管账户开户银行：</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账号：</w:t>
      </w:r>
      <w:r>
        <w:rPr>
          <w:rFonts w:ascii="仿宋_GB2312" w:hAnsi="宋体" w:eastAsia="仿宋_GB2312" w:cs="宋体"/>
          <w:sz w:val="24"/>
          <w:szCs w:val="24"/>
        </w:rPr>
        <w:t>770557960133</w:t>
      </w:r>
    </w:p>
    <w:p>
      <w:pPr>
        <w:spacing w:line="460" w:lineRule="exact"/>
        <w:jc w:val="left"/>
        <w:rPr>
          <w:rFonts w:ascii="仿宋_GB2312" w:hAnsi="宋体" w:eastAsia="仿宋_GB2312" w:cs="宋体"/>
          <w:sz w:val="24"/>
          <w:szCs w:val="24"/>
        </w:rPr>
      </w:pPr>
      <w:r>
        <w:rPr>
          <w:rFonts w:hint="eastAsia" w:ascii="仿宋_GB2312" w:hAnsi="宋体" w:eastAsia="仿宋_GB2312" w:cs="宋体"/>
          <w:sz w:val="24"/>
          <w:szCs w:val="24"/>
        </w:rPr>
        <w:t>幼儿园占地面积：</w:t>
      </w:r>
      <w:r>
        <w:rPr>
          <w:rFonts w:ascii="仿宋_GB2312" w:hAnsi="宋体" w:eastAsia="仿宋_GB2312" w:cs="宋体"/>
          <w:sz w:val="24"/>
          <w:szCs w:val="24"/>
        </w:rPr>
        <w:t>2066.9</w:t>
      </w:r>
      <w:r>
        <w:rPr>
          <w:rFonts w:hint="eastAsia" w:ascii="宋体" w:hAnsi="宋体" w:cs="宋体"/>
          <w:sz w:val="24"/>
          <w:szCs w:val="24"/>
        </w:rPr>
        <w:t>㎡</w:t>
      </w:r>
      <w:r>
        <w:rPr>
          <w:rFonts w:hint="eastAsia" w:ascii="仿宋_GB2312" w:hAnsi="宋体" w:eastAsia="仿宋_GB2312" w:cs="宋体"/>
          <w:sz w:val="24"/>
          <w:szCs w:val="24"/>
        </w:rPr>
        <w:t>建筑面积：</w:t>
      </w:r>
      <w:r>
        <w:rPr>
          <w:rFonts w:ascii="仿宋_GB2312" w:hAnsi="宋体" w:eastAsia="仿宋_GB2312" w:cs="宋体"/>
          <w:sz w:val="24"/>
          <w:szCs w:val="24"/>
        </w:rPr>
        <w:t>2203.69</w:t>
      </w:r>
      <w:r>
        <w:rPr>
          <w:rFonts w:hint="eastAsia" w:ascii="仿宋_GB2312" w:hAnsi="宋体" w:eastAsia="仿宋_GB2312" w:cs="宋体"/>
          <w:sz w:val="24"/>
          <w:szCs w:val="24"/>
        </w:rPr>
        <w:t>㎡</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户外活动场所面积：</w:t>
      </w:r>
      <w:r>
        <w:rPr>
          <w:rFonts w:ascii="仿宋_GB2312" w:hAnsi="宋体" w:eastAsia="仿宋_GB2312" w:cs="宋体"/>
          <w:sz w:val="24"/>
          <w:szCs w:val="24"/>
        </w:rPr>
        <w:t>900</w:t>
      </w:r>
      <w:r>
        <w:rPr>
          <w:rFonts w:hint="eastAsia" w:ascii="仿宋_GB2312" w:hAnsi="宋体" w:eastAsia="仿宋_GB2312" w:cs="宋体"/>
          <w:sz w:val="24"/>
          <w:szCs w:val="24"/>
        </w:rPr>
        <w:t>㎡</w:t>
      </w:r>
    </w:p>
    <w:p>
      <w:pPr>
        <w:spacing w:line="460" w:lineRule="exact"/>
        <w:rPr>
          <w:rFonts w:ascii="仿宋_GB2312" w:hAnsi="宋体" w:eastAsia="仿宋_GB2312" w:cs="宋体"/>
          <w:sz w:val="24"/>
          <w:szCs w:val="24"/>
        </w:rPr>
      </w:pPr>
      <w:r>
        <w:rPr>
          <w:rFonts w:hint="eastAsia" w:ascii="仿宋_GB2312" w:hAnsi="宋体" w:eastAsia="仿宋_GB2312" w:cs="宋体"/>
          <w:sz w:val="24"/>
          <w:szCs w:val="24"/>
        </w:rPr>
        <w:t>年末在园幼儿数、实有班数、教职工及其师生比情况，参见“基本数字表”。</w:t>
      </w:r>
    </w:p>
    <w:p>
      <w:pPr>
        <w:spacing w:beforeLines="100" w:afterLines="50" w:line="500" w:lineRule="exact"/>
        <w:rPr>
          <w:rFonts w:ascii="仿宋_GB2312" w:hAnsi="宋体" w:eastAsia="仿宋_GB2312"/>
          <w:b/>
          <w:sz w:val="24"/>
        </w:rPr>
      </w:pPr>
      <w:r>
        <w:rPr>
          <w:rFonts w:hint="eastAsia" w:ascii="仿宋_GB2312" w:hAnsi="宋体" w:eastAsia="仿宋_GB2312"/>
          <w:b/>
          <w:sz w:val="24"/>
        </w:rPr>
        <w:t>二、主要会计政策和会计估计</w:t>
      </w:r>
    </w:p>
    <w:p>
      <w:pPr>
        <w:widowControl/>
        <w:adjustRightInd w:val="0"/>
        <w:snapToGrid w:val="0"/>
        <w:spacing w:line="400" w:lineRule="exact"/>
        <w:ind w:firstLine="422" w:firstLineChars="200"/>
        <w:outlineLvl w:val="2"/>
        <w:rPr>
          <w:rFonts w:ascii="仿宋_GB2312" w:hAnsi="宋体" w:eastAsia="仿宋_GB2312"/>
          <w:b/>
          <w:szCs w:val="21"/>
        </w:rPr>
      </w:pPr>
      <w:r>
        <w:rPr>
          <w:rFonts w:hint="eastAsia" w:ascii="仿宋_GB2312" w:hAnsi="宋体" w:eastAsia="仿宋_GB2312"/>
          <w:b/>
          <w:szCs w:val="21"/>
        </w:rPr>
        <w:t>（一）会计政策</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1.会计年度：</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本园采用公历年即1月1日至12月31日为一个会计年度。</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本报告会计期间自2014年1月1日至2014年12月31日。</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2.会计制度：</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本园执行《深圳市民办幼儿园财务管理办法（试行）》会计制度。</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 xml:space="preserve">3.记账本位币：人民币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4.记账基础和计价原则：以权责发生制为记账基础，各项财产物资按取得时的实际成本计价。</w:t>
      </w:r>
    </w:p>
    <w:p>
      <w:pPr>
        <w:widowControl/>
        <w:adjustRightInd w:val="0"/>
        <w:snapToGrid w:val="0"/>
        <w:spacing w:line="400" w:lineRule="exact"/>
        <w:ind w:firstLine="482" w:firstLineChars="200"/>
        <w:outlineLvl w:val="2"/>
        <w:rPr>
          <w:rFonts w:ascii="仿宋_GB2312" w:hAnsi="宋体" w:eastAsia="仿宋_GB2312"/>
          <w:b/>
          <w:sz w:val="24"/>
          <w:szCs w:val="24"/>
        </w:rPr>
      </w:pPr>
      <w:r>
        <w:rPr>
          <w:rFonts w:hint="eastAsia" w:ascii="仿宋_GB2312" w:hAnsi="宋体" w:eastAsia="仿宋_GB2312"/>
          <w:b/>
          <w:sz w:val="24"/>
          <w:szCs w:val="24"/>
        </w:rPr>
        <w:t>（二）存货计价</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1.存货的购入与入库，按成本计价。</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2.存货的领用和发出按先进先出法计价。</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3.低值易耗品采用一次摊销法摊销。</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4.存货的盘盈、盘亏、毁损、报废结转按 待处理财产损益处理。</w:t>
      </w:r>
    </w:p>
    <w:p>
      <w:pPr>
        <w:widowControl/>
        <w:adjustRightInd w:val="0"/>
        <w:snapToGrid w:val="0"/>
        <w:spacing w:line="400" w:lineRule="exact"/>
        <w:ind w:firstLine="482" w:firstLineChars="200"/>
        <w:outlineLvl w:val="2"/>
        <w:rPr>
          <w:rFonts w:ascii="仿宋_GB2312" w:hAnsi="宋体" w:eastAsia="仿宋_GB2312"/>
          <w:b/>
          <w:sz w:val="24"/>
          <w:szCs w:val="24"/>
        </w:rPr>
      </w:pPr>
      <w:r>
        <w:rPr>
          <w:rFonts w:hint="eastAsia" w:ascii="仿宋_GB2312" w:hAnsi="宋体" w:eastAsia="仿宋_GB2312"/>
          <w:b/>
          <w:sz w:val="24"/>
          <w:szCs w:val="24"/>
        </w:rPr>
        <w:t>（三）待摊费用、无形资产摊销</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1.长期待摊费用在受益期内平均摊销，自入账之日起按5年进行摊销。</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2.本园无无形资产。</w:t>
      </w:r>
    </w:p>
    <w:p>
      <w:pPr>
        <w:widowControl/>
        <w:adjustRightInd w:val="0"/>
        <w:snapToGrid w:val="0"/>
        <w:spacing w:line="400" w:lineRule="exact"/>
        <w:ind w:firstLine="482" w:firstLineChars="200"/>
        <w:outlineLvl w:val="2"/>
        <w:rPr>
          <w:rFonts w:ascii="仿宋_GB2312" w:hAnsi="宋体" w:eastAsia="仿宋_GB2312"/>
          <w:b/>
          <w:sz w:val="24"/>
          <w:szCs w:val="24"/>
        </w:rPr>
      </w:pPr>
      <w:r>
        <w:rPr>
          <w:rFonts w:hint="eastAsia" w:ascii="仿宋_GB2312" w:hAnsi="宋体" w:eastAsia="仿宋_GB2312"/>
          <w:b/>
          <w:sz w:val="24"/>
          <w:szCs w:val="24"/>
        </w:rPr>
        <w:t>（四）固定资产及折旧方法</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1. 固定资产按实际成本计价。</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2. 固定资产分类执行国家标准《固定资产分类与代码》，分为六大类：土地\房屋及构筑物，通用设备（含计算机设备、车辆、办公设备），专用设备（幼儿园指医务室和文体娱乐设备），文物和陈列品，图书\档案，家具\用具\装具及动植物。</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3. 固定资产折旧采用直线平均法，预计残值率10%。</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4. 分类折旧率如下：</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 xml:space="preserve">资产类别                 估计的经济使用年限           年折旧率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土地\房屋及构筑物               20年</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4.5%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通用设备</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5年</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18%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专用设备                        5年</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18%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文物和陈列品                    5年</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18%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图书\档案                       5年</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18%      </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家具\用具\装具及动植物          5年</w:t>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ab/>
      </w:r>
      <w:r>
        <w:rPr>
          <w:rFonts w:hint="eastAsia" w:ascii="仿宋_GB2312" w:hAnsi="宋体" w:eastAsia="仿宋_GB2312"/>
          <w:sz w:val="24"/>
          <w:szCs w:val="24"/>
        </w:rPr>
        <w:t xml:space="preserve">          18%</w:t>
      </w:r>
    </w:p>
    <w:p>
      <w:pPr>
        <w:widowControl/>
        <w:adjustRightInd w:val="0"/>
        <w:snapToGrid w:val="0"/>
        <w:spacing w:line="400" w:lineRule="exact"/>
        <w:ind w:firstLine="482" w:firstLineChars="200"/>
        <w:outlineLvl w:val="2"/>
        <w:rPr>
          <w:rFonts w:ascii="仿宋_GB2312" w:hAnsi="宋体" w:eastAsia="仿宋_GB2312"/>
          <w:b/>
          <w:sz w:val="24"/>
          <w:szCs w:val="24"/>
        </w:rPr>
      </w:pPr>
      <w:r>
        <w:rPr>
          <w:rFonts w:hint="eastAsia" w:ascii="仿宋_GB2312" w:hAnsi="宋体" w:eastAsia="仿宋_GB2312"/>
          <w:b/>
          <w:sz w:val="24"/>
          <w:szCs w:val="24"/>
        </w:rPr>
        <w:t>（五）坏账处理与准备</w:t>
      </w:r>
    </w:p>
    <w:p>
      <w:pPr>
        <w:topLinePunct/>
        <w:spacing w:line="400" w:lineRule="exact"/>
        <w:ind w:firstLine="600" w:firstLineChars="250"/>
        <w:jc w:val="left"/>
        <w:rPr>
          <w:rFonts w:ascii="仿宋_GB2312" w:hAnsi="宋体" w:eastAsia="仿宋_GB2312"/>
          <w:sz w:val="24"/>
          <w:szCs w:val="24"/>
        </w:rPr>
      </w:pPr>
      <w:r>
        <w:rPr>
          <w:rFonts w:hint="eastAsia" w:ascii="仿宋_GB2312" w:hAnsi="宋体" w:eastAsia="仿宋_GB2312"/>
          <w:sz w:val="24"/>
          <w:szCs w:val="24"/>
        </w:rPr>
        <w:t>坏账处理为:计提坏账准备。</w:t>
      </w:r>
    </w:p>
    <w:p>
      <w:pPr>
        <w:topLinePunct/>
        <w:spacing w:line="400" w:lineRule="exact"/>
        <w:ind w:firstLine="600" w:firstLineChars="250"/>
        <w:jc w:val="left"/>
        <w:rPr>
          <w:rFonts w:ascii="仿宋_GB2312" w:hAnsi="宋体" w:eastAsia="仿宋_GB2312"/>
          <w:sz w:val="24"/>
          <w:szCs w:val="24"/>
        </w:rPr>
      </w:pPr>
      <w:r>
        <w:rPr>
          <w:rFonts w:hint="eastAsia" w:ascii="仿宋_GB2312" w:hAnsi="宋体" w:eastAsia="仿宋_GB2312"/>
          <w:sz w:val="24"/>
          <w:szCs w:val="24"/>
        </w:rPr>
        <w:t>本园对坏帐损失采用直接核销法核算。</w:t>
      </w:r>
    </w:p>
    <w:p>
      <w:pPr>
        <w:topLinePunct/>
        <w:spacing w:line="400" w:lineRule="exact"/>
        <w:ind w:firstLine="600" w:firstLineChars="250"/>
        <w:jc w:val="left"/>
        <w:rPr>
          <w:rFonts w:ascii="仿宋_GB2312" w:hAnsi="宋体" w:eastAsia="仿宋_GB2312"/>
          <w:sz w:val="24"/>
          <w:szCs w:val="24"/>
        </w:rPr>
      </w:pPr>
      <w:r>
        <w:rPr>
          <w:rFonts w:hint="eastAsia" w:ascii="仿宋_GB2312" w:hAnsi="宋体" w:eastAsia="仿宋_GB2312"/>
          <w:sz w:val="24"/>
          <w:szCs w:val="24"/>
        </w:rPr>
        <w:t>本园按以下标准确认坏账损失：</w:t>
      </w:r>
    </w:p>
    <w:p>
      <w:pPr>
        <w:topLinePunct/>
        <w:spacing w:line="400" w:lineRule="exact"/>
        <w:ind w:firstLine="600" w:firstLineChars="250"/>
        <w:jc w:val="left"/>
        <w:rPr>
          <w:rFonts w:ascii="仿宋_GB2312" w:hAnsi="宋体" w:eastAsia="仿宋_GB2312"/>
          <w:sz w:val="24"/>
          <w:szCs w:val="24"/>
        </w:rPr>
      </w:pPr>
      <w:r>
        <w:rPr>
          <w:rFonts w:hint="eastAsia" w:ascii="仿宋_GB2312" w:hAnsi="宋体" w:eastAsia="仿宋_GB2312"/>
          <w:sz w:val="24"/>
          <w:szCs w:val="24"/>
        </w:rPr>
        <w:t>①债务人破产或死亡，以其破产财产或者遗产清偿后仍不能收回；</w:t>
      </w:r>
    </w:p>
    <w:p>
      <w:pPr>
        <w:topLinePunct/>
        <w:spacing w:line="400" w:lineRule="exact"/>
        <w:ind w:firstLine="600" w:firstLineChars="250"/>
        <w:jc w:val="left"/>
        <w:rPr>
          <w:rFonts w:ascii="仿宋_GB2312" w:hAnsi="宋体" w:eastAsia="仿宋_GB2312"/>
          <w:sz w:val="24"/>
          <w:szCs w:val="24"/>
        </w:rPr>
      </w:pPr>
      <w:r>
        <w:rPr>
          <w:rFonts w:hint="eastAsia" w:ascii="仿宋_GB2312" w:hAnsi="宋体" w:eastAsia="仿宋_GB2312"/>
          <w:sz w:val="24"/>
          <w:szCs w:val="24"/>
        </w:rPr>
        <w:t>②债务人逾期未履行偿债义务超过三年仍然不能收回的应收款项。</w:t>
      </w:r>
    </w:p>
    <w:p>
      <w:pPr>
        <w:widowControl/>
        <w:adjustRightInd w:val="0"/>
        <w:snapToGrid w:val="0"/>
        <w:spacing w:line="400" w:lineRule="exact"/>
        <w:ind w:firstLine="482" w:firstLineChars="200"/>
        <w:outlineLvl w:val="2"/>
        <w:rPr>
          <w:rFonts w:ascii="仿宋_GB2312" w:hAnsi="宋体" w:eastAsia="仿宋_GB2312"/>
          <w:b/>
          <w:sz w:val="24"/>
          <w:szCs w:val="24"/>
        </w:rPr>
      </w:pPr>
      <w:r>
        <w:rPr>
          <w:rFonts w:hint="eastAsia" w:ascii="仿宋_GB2312" w:hAnsi="宋体" w:eastAsia="仿宋_GB2312"/>
          <w:b/>
          <w:sz w:val="24"/>
          <w:szCs w:val="24"/>
        </w:rPr>
        <w:t>（六）收入的确认方法</w:t>
      </w:r>
    </w:p>
    <w:p>
      <w:pPr>
        <w:topLinePunct/>
        <w:spacing w:line="400" w:lineRule="exact"/>
        <w:ind w:firstLine="720" w:firstLineChars="300"/>
        <w:jc w:val="left"/>
        <w:rPr>
          <w:rFonts w:ascii="仿宋_GB2312" w:hAnsi="宋体" w:eastAsia="仿宋_GB2312"/>
          <w:sz w:val="24"/>
          <w:szCs w:val="24"/>
        </w:rPr>
      </w:pPr>
      <w:r>
        <w:rPr>
          <w:rFonts w:hint="eastAsia" w:ascii="仿宋_GB2312" w:hAnsi="宋体" w:eastAsia="仿宋_GB2312"/>
          <w:sz w:val="24"/>
          <w:szCs w:val="24"/>
        </w:rPr>
        <w:t>1.交换交易所形成的收入。按照规定的收费项目、收费标准和收费期间确认收入，包括保教费和其他服务性收费（如伙食费、校车费）。在同一会计年度内开始并完成的服务，按规定取得预收费先在“预收账款”科目反映，然后按收益期分期结转收入。</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2. 非交换交易所形成的收入，如社会捐赠或政府资助，在捐赠或政府资助收到时确认收入。</w:t>
      </w:r>
    </w:p>
    <w:p>
      <w:pPr>
        <w:widowControl/>
        <w:adjustRightInd w:val="0"/>
        <w:snapToGrid w:val="0"/>
        <w:spacing w:line="400" w:lineRule="exact"/>
        <w:ind w:firstLine="482" w:firstLineChars="200"/>
        <w:outlineLvl w:val="2"/>
        <w:rPr>
          <w:rFonts w:ascii="仿宋_GB2312" w:hAnsi="宋体" w:eastAsia="仿宋_GB2312"/>
          <w:b/>
          <w:sz w:val="24"/>
          <w:szCs w:val="24"/>
        </w:rPr>
      </w:pPr>
      <w:r>
        <w:rPr>
          <w:rFonts w:hint="eastAsia" w:ascii="仿宋_GB2312" w:hAnsi="宋体" w:eastAsia="仿宋_GB2312"/>
          <w:b/>
          <w:sz w:val="24"/>
          <w:szCs w:val="24"/>
        </w:rPr>
        <w:t>（七）重要会计政策和会计估计变更及重大会计差错更正的说明</w:t>
      </w:r>
    </w:p>
    <w:p>
      <w:pPr>
        <w:topLinePunct/>
        <w:spacing w:line="400" w:lineRule="exact"/>
        <w:ind w:firstLine="480" w:firstLineChars="200"/>
        <w:jc w:val="left"/>
        <w:rPr>
          <w:rFonts w:ascii="仿宋_GB2312" w:hAnsi="宋体" w:eastAsia="仿宋_GB2312"/>
          <w:sz w:val="24"/>
          <w:szCs w:val="24"/>
        </w:rPr>
      </w:pPr>
      <w:r>
        <w:rPr>
          <w:rFonts w:hint="eastAsia" w:ascii="仿宋_GB2312" w:hAnsi="宋体" w:eastAsia="仿宋_GB2312"/>
          <w:sz w:val="24"/>
          <w:szCs w:val="24"/>
        </w:rPr>
        <w:t>A．会计政策和会计估计变更：本期无会计政策和会计估计变更。</w:t>
      </w:r>
    </w:p>
    <w:p>
      <w:pPr>
        <w:spacing w:line="400" w:lineRule="exact"/>
        <w:ind w:firstLine="480" w:firstLineChars="200"/>
        <w:rPr>
          <w:rFonts w:ascii="仿宋_GB2312" w:hAnsi="宋体" w:eastAsia="仿宋_GB2312"/>
          <w:sz w:val="24"/>
          <w:szCs w:val="24"/>
        </w:rPr>
      </w:pPr>
      <w:r>
        <w:rPr>
          <w:rFonts w:hint="eastAsia" w:ascii="仿宋_GB2312" w:hAnsi="宋体" w:eastAsia="仿宋_GB2312"/>
          <w:sz w:val="24"/>
          <w:szCs w:val="24"/>
        </w:rPr>
        <w:t xml:space="preserve">B. 重大会计差错更正: 本期无会计差错更正事项。   </w:t>
      </w:r>
    </w:p>
    <w:p>
      <w:pPr>
        <w:spacing w:beforeLines="50" w:afterLines="50" w:line="500" w:lineRule="exact"/>
        <w:rPr>
          <w:rFonts w:ascii="仿宋_GB2312" w:hAnsi="宋体" w:eastAsia="仿宋_GB2312"/>
          <w:b/>
          <w:sz w:val="24"/>
        </w:rPr>
      </w:pPr>
      <w:r>
        <w:rPr>
          <w:rFonts w:hint="eastAsia" w:ascii="仿宋_GB2312" w:hAnsi="宋体" w:eastAsia="仿宋_GB2312"/>
          <w:b/>
          <w:sz w:val="24"/>
        </w:rPr>
        <w:t>三、会计报表主要项目注释</w:t>
      </w:r>
    </w:p>
    <w:p>
      <w:pPr>
        <w:tabs>
          <w:tab w:val="decimal" w:pos="840"/>
        </w:tabs>
        <w:spacing w:beforeLines="50" w:afterLines="50" w:line="420" w:lineRule="exact"/>
        <w:ind w:firstLine="482" w:firstLineChars="200"/>
        <w:rPr>
          <w:rFonts w:ascii="仿宋_GB2312" w:hAnsi="宋体" w:eastAsia="仿宋_GB2312"/>
          <w:b/>
          <w:sz w:val="24"/>
        </w:rPr>
      </w:pPr>
      <w:r>
        <w:rPr>
          <w:rFonts w:hint="eastAsia" w:ascii="仿宋_GB2312" w:hAnsi="宋体" w:eastAsia="仿宋_GB2312"/>
          <w:b/>
          <w:sz w:val="24"/>
        </w:rPr>
        <w:t>注释1、货币资金</w:t>
      </w:r>
    </w:p>
    <w:p>
      <w:pPr>
        <w:topLinePunct/>
        <w:spacing w:line="400" w:lineRule="exact"/>
        <w:ind w:firstLine="720" w:firstLineChars="300"/>
        <w:jc w:val="left"/>
        <w:rPr>
          <w:rFonts w:ascii="仿宋_GB2312" w:hAnsi="宋体" w:eastAsia="仿宋_GB2312"/>
          <w:sz w:val="24"/>
          <w:szCs w:val="24"/>
        </w:rPr>
      </w:pPr>
      <w:r>
        <w:rPr>
          <w:rFonts w:hint="eastAsia" w:ascii="仿宋_GB2312" w:hAnsi="宋体" w:eastAsia="仿宋_GB2312"/>
          <w:sz w:val="24"/>
          <w:szCs w:val="24"/>
        </w:rPr>
        <w:t>期末银行存款余额739,738.38元。</w:t>
      </w:r>
    </w:p>
    <w:p>
      <w:pPr>
        <w:topLinePunct/>
        <w:spacing w:line="400" w:lineRule="exact"/>
        <w:ind w:firstLine="720" w:firstLineChars="300"/>
        <w:jc w:val="left"/>
        <w:rPr>
          <w:rFonts w:ascii="仿宋_GB2312" w:hAnsi="宋体" w:eastAsia="仿宋_GB2312"/>
          <w:sz w:val="24"/>
          <w:szCs w:val="24"/>
        </w:rPr>
      </w:pPr>
      <w:r>
        <w:rPr>
          <w:rFonts w:hint="eastAsia" w:ascii="仿宋_GB2312" w:hAnsi="宋体" w:eastAsia="仿宋_GB2312"/>
          <w:sz w:val="24"/>
          <w:szCs w:val="24"/>
        </w:rPr>
        <w:t>其中：三方监管账户余额69,699.18元。基本账户余额670,039.20元。</w:t>
      </w:r>
    </w:p>
    <w:p>
      <w:pPr>
        <w:topLinePunct/>
        <w:spacing w:line="400" w:lineRule="exact"/>
        <w:ind w:firstLine="720" w:firstLineChars="300"/>
        <w:jc w:val="left"/>
        <w:rPr>
          <w:rFonts w:ascii="仿宋_GB2312" w:hAnsi="宋体" w:eastAsia="仿宋_GB2312"/>
          <w:sz w:val="24"/>
          <w:szCs w:val="24"/>
        </w:rPr>
      </w:pPr>
      <w:r>
        <w:rPr>
          <w:rFonts w:hint="eastAsia" w:ascii="仿宋_GB2312" w:hAnsi="宋体" w:eastAsia="仿宋_GB2312"/>
          <w:sz w:val="24"/>
          <w:szCs w:val="24"/>
        </w:rPr>
        <w:t>期末现金余额：5,162.67元。</w:t>
      </w:r>
    </w:p>
    <w:p>
      <w:pPr>
        <w:spacing w:beforeLines="50" w:afterLines="50" w:line="420" w:lineRule="exact"/>
        <w:ind w:firstLine="482" w:firstLineChars="200"/>
        <w:rPr>
          <w:rFonts w:ascii="仿宋_GB2312" w:hAnsi="宋体" w:eastAsia="仿宋_GB2312"/>
          <w:b/>
          <w:sz w:val="24"/>
        </w:rPr>
      </w:pPr>
      <w:r>
        <w:rPr>
          <w:rFonts w:hint="eastAsia" w:ascii="仿宋_GB2312" w:hAnsi="宋体" w:eastAsia="仿宋_GB2312"/>
          <w:b/>
          <w:sz w:val="24"/>
        </w:rPr>
        <w:t>注释2、固定资产及其折旧</w:t>
      </w:r>
    </w:p>
    <w:tbl>
      <w:tblPr>
        <w:tblStyle w:val="9"/>
        <w:tblW w:w="884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1578"/>
        <w:gridCol w:w="1579"/>
        <w:gridCol w:w="1579"/>
        <w:gridCol w:w="1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jc w:val="center"/>
              <w:rPr>
                <w:rFonts w:ascii="仿宋_GB2312" w:hAnsi="宋体" w:eastAsia="仿宋_GB2312"/>
                <w:bCs/>
                <w:spacing w:val="-20"/>
                <w:szCs w:val="21"/>
              </w:rPr>
            </w:pPr>
            <w:r>
              <w:rPr>
                <w:rFonts w:hint="eastAsia" w:ascii="仿宋_GB2312" w:hAnsi="宋体" w:eastAsia="仿宋_GB2312"/>
                <w:bCs/>
                <w:spacing w:val="-20"/>
                <w:szCs w:val="21"/>
              </w:rPr>
              <w:t>项         目</w:t>
            </w:r>
          </w:p>
        </w:tc>
        <w:tc>
          <w:tcPr>
            <w:tcW w:w="1578" w:type="dxa"/>
            <w:vAlign w:val="center"/>
          </w:tcPr>
          <w:p>
            <w:pPr>
              <w:topLinePunct/>
              <w:spacing w:line="320" w:lineRule="exact"/>
              <w:jc w:val="center"/>
              <w:rPr>
                <w:rFonts w:ascii="仿宋_GB2312" w:hAnsi="宋体" w:eastAsia="仿宋_GB2312"/>
                <w:bCs/>
                <w:spacing w:val="-20"/>
                <w:szCs w:val="21"/>
              </w:rPr>
            </w:pPr>
            <w:r>
              <w:rPr>
                <w:rFonts w:hint="eastAsia" w:ascii="仿宋_GB2312" w:hAnsi="宋体" w:eastAsia="仿宋_GB2312"/>
                <w:bCs/>
                <w:spacing w:val="-20"/>
                <w:szCs w:val="21"/>
              </w:rPr>
              <w:t>期初余额</w:t>
            </w:r>
          </w:p>
        </w:tc>
        <w:tc>
          <w:tcPr>
            <w:tcW w:w="1579" w:type="dxa"/>
            <w:vAlign w:val="center"/>
          </w:tcPr>
          <w:p>
            <w:pPr>
              <w:topLinePunct/>
              <w:spacing w:line="320" w:lineRule="exact"/>
              <w:jc w:val="center"/>
              <w:rPr>
                <w:rFonts w:ascii="仿宋_GB2312" w:hAnsi="宋体" w:eastAsia="仿宋_GB2312"/>
                <w:bCs/>
                <w:spacing w:val="-20"/>
                <w:szCs w:val="21"/>
              </w:rPr>
            </w:pPr>
            <w:r>
              <w:rPr>
                <w:rFonts w:hint="eastAsia" w:ascii="仿宋_GB2312" w:hAnsi="宋体" w:eastAsia="仿宋_GB2312"/>
                <w:bCs/>
                <w:spacing w:val="-20"/>
                <w:szCs w:val="21"/>
              </w:rPr>
              <w:t>本期增加</w:t>
            </w:r>
          </w:p>
        </w:tc>
        <w:tc>
          <w:tcPr>
            <w:tcW w:w="1579" w:type="dxa"/>
            <w:vAlign w:val="center"/>
          </w:tcPr>
          <w:p>
            <w:pPr>
              <w:topLinePunct/>
              <w:spacing w:line="320" w:lineRule="exact"/>
              <w:jc w:val="center"/>
              <w:rPr>
                <w:rFonts w:ascii="仿宋_GB2312" w:hAnsi="宋体" w:eastAsia="仿宋_GB2312"/>
                <w:bCs/>
                <w:spacing w:val="-20"/>
                <w:szCs w:val="21"/>
              </w:rPr>
            </w:pPr>
            <w:r>
              <w:rPr>
                <w:rFonts w:hint="eastAsia" w:ascii="仿宋_GB2312" w:hAnsi="宋体" w:eastAsia="仿宋_GB2312"/>
                <w:bCs/>
                <w:spacing w:val="-20"/>
                <w:szCs w:val="21"/>
              </w:rPr>
              <w:t>本期减少</w:t>
            </w:r>
          </w:p>
        </w:tc>
        <w:tc>
          <w:tcPr>
            <w:tcW w:w="1579" w:type="dxa"/>
            <w:vAlign w:val="center"/>
          </w:tcPr>
          <w:p>
            <w:pPr>
              <w:topLinePunct/>
              <w:spacing w:line="320" w:lineRule="exact"/>
              <w:jc w:val="center"/>
              <w:rPr>
                <w:rFonts w:ascii="仿宋_GB2312" w:hAnsi="宋体" w:eastAsia="仿宋_GB2312"/>
                <w:bCs/>
                <w:spacing w:val="-20"/>
                <w:szCs w:val="21"/>
              </w:rPr>
            </w:pPr>
            <w:r>
              <w:rPr>
                <w:rFonts w:hint="eastAsia" w:ascii="仿宋_GB2312" w:hAnsi="宋体" w:eastAsia="仿宋_GB2312"/>
                <w:bCs/>
                <w:spacing w:val="-20"/>
                <w:szCs w:val="21"/>
              </w:rPr>
              <w:t>期末余额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25" w:type="dxa"/>
            <w:vAlign w:val="center"/>
          </w:tcPr>
          <w:p>
            <w:pPr>
              <w:topLinePunct/>
              <w:spacing w:line="320" w:lineRule="exact"/>
              <w:rPr>
                <w:rFonts w:ascii="仿宋_GB2312" w:hAnsi="宋体" w:eastAsia="仿宋_GB2312"/>
                <w:bCs/>
                <w:spacing w:val="-20"/>
                <w:szCs w:val="21"/>
              </w:rPr>
            </w:pPr>
            <w:r>
              <w:rPr>
                <w:rFonts w:hint="eastAsia" w:ascii="仿宋_GB2312" w:hAnsi="宋体" w:eastAsia="仿宋_GB2312"/>
                <w:bCs/>
                <w:spacing w:val="-20"/>
                <w:szCs w:val="21"/>
              </w:rPr>
              <w:t>一、固定资产原值</w:t>
            </w:r>
          </w:p>
        </w:tc>
        <w:tc>
          <w:tcPr>
            <w:tcW w:w="1578" w:type="dxa"/>
            <w:vAlign w:val="center"/>
          </w:tcPr>
          <w:p>
            <w:pPr>
              <w:topLinePunct/>
              <w:spacing w:line="320" w:lineRule="exact"/>
              <w:ind w:firstLine="23" w:firstLineChars="11"/>
              <w:jc w:val="right"/>
              <w:rPr>
                <w:rFonts w:ascii="仿宋_GB2312" w:hAnsi="宋体" w:eastAsia="仿宋_GB2312"/>
                <w:spacing w:val="-20"/>
                <w:szCs w:val="21"/>
              </w:rPr>
            </w:pPr>
            <w:r>
              <w:rPr>
                <w:rFonts w:hint="eastAsia" w:ascii="仿宋_GB2312" w:eastAsia="仿宋_GB2312"/>
              </w:rPr>
              <w:t>1,087,104.36</w:t>
            </w: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r>
              <w:rPr>
                <w:rFonts w:hint="eastAsia" w:ascii="仿宋_GB2312" w:hAnsi="宋体" w:eastAsia="仿宋_GB2312"/>
                <w:spacing w:val="-20"/>
                <w:szCs w:val="21"/>
              </w:rPr>
              <w:t>60,745.30</w:t>
            </w: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19" w:firstLineChars="11"/>
              <w:jc w:val="right"/>
              <w:rPr>
                <w:rFonts w:ascii="仿宋_GB2312" w:hAnsi="宋体" w:eastAsia="仿宋_GB2312"/>
                <w:spacing w:val="-20"/>
                <w:szCs w:val="21"/>
              </w:rPr>
            </w:pPr>
            <w:r>
              <w:rPr>
                <w:rFonts w:hint="eastAsia" w:ascii="仿宋_GB2312" w:hAnsi="宋体" w:eastAsia="仿宋_GB2312"/>
                <w:spacing w:val="-20"/>
                <w:szCs w:val="21"/>
              </w:rPr>
              <w:t>1,147,849.66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255" w:firstLineChars="150"/>
              <w:rPr>
                <w:rFonts w:ascii="仿宋_GB2312" w:hAnsi="宋体" w:eastAsia="仿宋_GB2312"/>
                <w:bCs/>
                <w:spacing w:val="-20"/>
                <w:szCs w:val="21"/>
              </w:rPr>
            </w:pPr>
            <w:r>
              <w:rPr>
                <w:rFonts w:hint="eastAsia" w:ascii="仿宋_GB2312" w:hAnsi="宋体" w:eastAsia="仿宋_GB2312"/>
                <w:bCs/>
                <w:spacing w:val="-20"/>
                <w:szCs w:val="21"/>
              </w:rPr>
              <w:t>1.土地\房屋及构筑物</w:t>
            </w:r>
          </w:p>
        </w:tc>
        <w:tc>
          <w:tcPr>
            <w:tcW w:w="1578" w:type="dxa"/>
            <w:vAlign w:val="center"/>
          </w:tcPr>
          <w:p>
            <w:pPr>
              <w:topLinePunct/>
              <w:spacing w:line="320" w:lineRule="exact"/>
              <w:ind w:firstLine="340" w:firstLineChars="200"/>
              <w:jc w:val="right"/>
              <w:rPr>
                <w:rFonts w:ascii="仿宋_GB2312" w:hAnsi="宋体" w:eastAsia="仿宋_GB2312"/>
                <w:bCs/>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bCs/>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bCs/>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bCs/>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255" w:firstLineChars="150"/>
              <w:rPr>
                <w:rFonts w:ascii="仿宋_GB2312" w:hAnsi="宋体" w:eastAsia="仿宋_GB2312"/>
                <w:bCs/>
                <w:spacing w:val="-20"/>
                <w:szCs w:val="21"/>
              </w:rPr>
            </w:pPr>
            <w:r>
              <w:rPr>
                <w:rFonts w:hint="eastAsia" w:ascii="仿宋_GB2312" w:hAnsi="宋体" w:eastAsia="仿宋_GB2312"/>
                <w:bCs/>
                <w:spacing w:val="-20"/>
                <w:szCs w:val="21"/>
              </w:rPr>
              <w:t>2.通用设备</w:t>
            </w:r>
          </w:p>
        </w:tc>
        <w:tc>
          <w:tcPr>
            <w:tcW w:w="1578" w:type="dxa"/>
            <w:vAlign w:val="center"/>
          </w:tcPr>
          <w:p>
            <w:pPr>
              <w:topLinePunct/>
              <w:spacing w:line="320" w:lineRule="exact"/>
              <w:ind w:firstLine="21" w:firstLineChars="10"/>
              <w:jc w:val="right"/>
              <w:rPr>
                <w:rFonts w:ascii="仿宋_GB2312" w:hAnsi="宋体" w:eastAsia="仿宋_GB2312"/>
                <w:spacing w:val="-20"/>
                <w:szCs w:val="21"/>
              </w:rPr>
            </w:pPr>
            <w:r>
              <w:rPr>
                <w:rFonts w:hint="eastAsia" w:ascii="仿宋_GB2312" w:eastAsia="仿宋_GB2312"/>
              </w:rPr>
              <w:t>1,087,104.36</w:t>
            </w:r>
          </w:p>
        </w:tc>
        <w:tc>
          <w:tcPr>
            <w:tcW w:w="1579" w:type="dxa"/>
            <w:vAlign w:val="center"/>
          </w:tcPr>
          <w:p>
            <w:pPr>
              <w:topLinePunct/>
              <w:spacing w:line="320" w:lineRule="exact"/>
              <w:jc w:val="right"/>
              <w:rPr>
                <w:rFonts w:ascii="仿宋_GB2312" w:hAnsi="宋体" w:eastAsia="仿宋_GB2312"/>
                <w:spacing w:val="-20"/>
                <w:szCs w:val="21"/>
              </w:rPr>
            </w:pPr>
            <w:r>
              <w:rPr>
                <w:rFonts w:hint="eastAsia" w:ascii="仿宋_GB2312" w:hAnsi="宋体" w:eastAsia="仿宋_GB2312"/>
                <w:spacing w:val="-20"/>
                <w:szCs w:val="21"/>
              </w:rPr>
              <w:t>60,745.30</w:t>
            </w: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17" w:firstLineChars="10"/>
              <w:jc w:val="right"/>
              <w:rPr>
                <w:rFonts w:ascii="仿宋_GB2312" w:hAnsi="宋体" w:eastAsia="仿宋_GB2312"/>
                <w:spacing w:val="-20"/>
                <w:szCs w:val="21"/>
              </w:rPr>
            </w:pPr>
            <w:r>
              <w:rPr>
                <w:rFonts w:hint="eastAsia" w:ascii="仿宋_GB2312" w:hAnsi="宋体" w:eastAsia="仿宋_GB2312"/>
                <w:spacing w:val="-20"/>
                <w:szCs w:val="21"/>
              </w:rPr>
              <w:t>1,147,849.66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255" w:firstLineChars="150"/>
              <w:rPr>
                <w:rFonts w:ascii="仿宋_GB2312" w:hAnsi="宋体" w:eastAsia="仿宋_GB2312"/>
                <w:bCs/>
                <w:spacing w:val="-20"/>
                <w:szCs w:val="21"/>
              </w:rPr>
            </w:pPr>
            <w:r>
              <w:rPr>
                <w:rFonts w:hint="eastAsia" w:ascii="仿宋_GB2312" w:hAnsi="宋体" w:eastAsia="仿宋_GB2312"/>
                <w:bCs/>
                <w:spacing w:val="-20"/>
                <w:szCs w:val="21"/>
              </w:rPr>
              <w:t>其中：计算机设备</w:t>
            </w:r>
          </w:p>
        </w:tc>
        <w:tc>
          <w:tcPr>
            <w:tcW w:w="1578" w:type="dxa"/>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765" w:firstLineChars="450"/>
              <w:rPr>
                <w:rFonts w:ascii="仿宋_GB2312" w:hAnsi="宋体" w:eastAsia="仿宋_GB2312"/>
                <w:bCs/>
                <w:spacing w:val="-20"/>
                <w:szCs w:val="21"/>
              </w:rPr>
            </w:pPr>
            <w:r>
              <w:rPr>
                <w:rFonts w:hint="eastAsia" w:ascii="仿宋_GB2312" w:hAnsi="宋体" w:eastAsia="仿宋_GB2312"/>
                <w:bCs/>
                <w:spacing w:val="-20"/>
                <w:szCs w:val="21"/>
              </w:rPr>
              <w:t>车辆</w:t>
            </w:r>
          </w:p>
        </w:tc>
        <w:tc>
          <w:tcPr>
            <w:tcW w:w="1578" w:type="dxa"/>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765" w:firstLineChars="450"/>
              <w:rPr>
                <w:rFonts w:ascii="仿宋_GB2312" w:hAnsi="宋体" w:eastAsia="仿宋_GB2312"/>
                <w:bCs/>
                <w:spacing w:val="-20"/>
                <w:szCs w:val="21"/>
              </w:rPr>
            </w:pPr>
            <w:r>
              <w:rPr>
                <w:rFonts w:hint="eastAsia" w:ascii="仿宋_GB2312" w:hAnsi="宋体" w:eastAsia="仿宋_GB2312"/>
                <w:bCs/>
                <w:spacing w:val="-20"/>
                <w:szCs w:val="21"/>
              </w:rPr>
              <w:t>办公设备</w:t>
            </w:r>
          </w:p>
        </w:tc>
        <w:tc>
          <w:tcPr>
            <w:tcW w:w="1578" w:type="dxa"/>
            <w:vAlign w:val="center"/>
          </w:tcPr>
          <w:p>
            <w:pPr>
              <w:topLinePunct/>
              <w:spacing w:line="320" w:lineRule="exact"/>
              <w:ind w:firstLine="17" w:firstLineChars="1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17" w:firstLineChars="10"/>
              <w:jc w:val="right"/>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255" w:firstLineChars="150"/>
              <w:rPr>
                <w:rFonts w:ascii="仿宋_GB2312" w:hAnsi="宋体" w:eastAsia="仿宋_GB2312"/>
                <w:bCs/>
                <w:spacing w:val="-20"/>
                <w:szCs w:val="21"/>
              </w:rPr>
            </w:pPr>
            <w:r>
              <w:rPr>
                <w:rFonts w:hint="eastAsia" w:ascii="仿宋_GB2312" w:hAnsi="宋体" w:eastAsia="仿宋_GB2312"/>
                <w:bCs/>
                <w:spacing w:val="-20"/>
                <w:szCs w:val="21"/>
              </w:rPr>
              <w:t>3.专用设备</w:t>
            </w:r>
          </w:p>
        </w:tc>
        <w:tc>
          <w:tcPr>
            <w:tcW w:w="1578" w:type="dxa"/>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255" w:firstLineChars="150"/>
              <w:rPr>
                <w:rFonts w:ascii="仿宋_GB2312" w:hAnsi="宋体" w:eastAsia="仿宋_GB2312"/>
                <w:bCs/>
                <w:spacing w:val="-20"/>
                <w:szCs w:val="21"/>
              </w:rPr>
            </w:pPr>
            <w:r>
              <w:rPr>
                <w:rFonts w:hint="eastAsia" w:ascii="仿宋_GB2312" w:hAnsi="宋体" w:eastAsia="仿宋_GB2312"/>
                <w:bCs/>
                <w:spacing w:val="-20"/>
                <w:szCs w:val="21"/>
              </w:rPr>
              <w:t>4.文物和陈列品</w:t>
            </w:r>
          </w:p>
        </w:tc>
        <w:tc>
          <w:tcPr>
            <w:tcW w:w="1578"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vAlign w:val="center"/>
          </w:tcPr>
          <w:p>
            <w:pPr>
              <w:topLinePunct/>
              <w:spacing w:line="320" w:lineRule="exact"/>
              <w:ind w:firstLine="255" w:firstLineChars="150"/>
              <w:rPr>
                <w:rFonts w:ascii="仿宋_GB2312" w:hAnsi="宋体" w:eastAsia="仿宋_GB2312"/>
                <w:bCs/>
                <w:spacing w:val="-20"/>
                <w:szCs w:val="21"/>
              </w:rPr>
            </w:pPr>
            <w:r>
              <w:rPr>
                <w:rFonts w:hint="eastAsia" w:ascii="仿宋_GB2312" w:hAnsi="宋体" w:eastAsia="仿宋_GB2312"/>
                <w:bCs/>
                <w:spacing w:val="-20"/>
                <w:szCs w:val="21"/>
              </w:rPr>
              <w:t>5.图书\档案</w:t>
            </w:r>
          </w:p>
        </w:tc>
        <w:tc>
          <w:tcPr>
            <w:tcW w:w="1578" w:type="dxa"/>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vAlign w:val="center"/>
          </w:tcPr>
          <w:p>
            <w:pPr>
              <w:topLinePunct/>
              <w:spacing w:line="320" w:lineRule="exact"/>
              <w:ind w:firstLine="340" w:firstLineChars="200"/>
              <w:jc w:val="right"/>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2525" w:type="dxa"/>
            <w:tcBorders>
              <w:bottom w:val="single" w:color="auto" w:sz="4" w:space="0"/>
            </w:tcBorders>
            <w:vAlign w:val="center"/>
          </w:tcPr>
          <w:p>
            <w:pPr>
              <w:topLinePunct/>
              <w:spacing w:line="320" w:lineRule="exact"/>
              <w:rPr>
                <w:rFonts w:ascii="仿宋_GB2312" w:hAnsi="宋体" w:eastAsia="仿宋_GB2312"/>
                <w:bCs/>
                <w:spacing w:val="-20"/>
                <w:szCs w:val="21"/>
              </w:rPr>
            </w:pPr>
            <w:r>
              <w:rPr>
                <w:rFonts w:hint="eastAsia" w:ascii="仿宋_GB2312" w:hAnsi="宋体" w:eastAsia="仿宋_GB2312"/>
                <w:bCs/>
                <w:spacing w:val="-20"/>
                <w:szCs w:val="21"/>
              </w:rPr>
              <w:t>6.家具\用具\装具及动植物</w:t>
            </w:r>
          </w:p>
        </w:tc>
        <w:tc>
          <w:tcPr>
            <w:tcW w:w="1578" w:type="dxa"/>
            <w:tcBorders>
              <w:bottom w:val="single" w:color="auto" w:sz="4" w:space="0"/>
            </w:tcBorders>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tcBorders>
              <w:bottom w:val="single" w:color="auto" w:sz="4" w:space="0"/>
            </w:tcBorders>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tcBorders>
              <w:bottom w:val="single" w:color="auto" w:sz="4" w:space="0"/>
            </w:tcBorders>
            <w:vAlign w:val="center"/>
          </w:tcPr>
          <w:p>
            <w:pPr>
              <w:topLinePunct/>
              <w:spacing w:line="320" w:lineRule="exact"/>
              <w:ind w:firstLine="340" w:firstLineChars="200"/>
              <w:jc w:val="right"/>
              <w:rPr>
                <w:rFonts w:ascii="仿宋_GB2312" w:hAnsi="宋体" w:eastAsia="仿宋_GB2312"/>
                <w:spacing w:val="-20"/>
                <w:szCs w:val="21"/>
              </w:rPr>
            </w:pPr>
          </w:p>
        </w:tc>
        <w:tc>
          <w:tcPr>
            <w:tcW w:w="1579" w:type="dxa"/>
            <w:tcBorders>
              <w:bottom w:val="single" w:color="auto" w:sz="4" w:space="0"/>
            </w:tcBorders>
            <w:vAlign w:val="center"/>
          </w:tcPr>
          <w:p>
            <w:pPr>
              <w:topLinePunct/>
              <w:spacing w:line="320" w:lineRule="exact"/>
              <w:ind w:firstLine="340" w:firstLineChars="200"/>
              <w:jc w:val="right"/>
              <w:rPr>
                <w:rFonts w:ascii="仿宋_GB2312" w:hAnsi="宋体" w:eastAsia="仿宋_GB2312"/>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rPr>
        <w:tc>
          <w:tcPr>
            <w:tcW w:w="2525" w:type="dxa"/>
            <w:tcBorders>
              <w:top w:val="single" w:color="auto" w:sz="4" w:space="0"/>
            </w:tcBorders>
            <w:vAlign w:val="center"/>
          </w:tcPr>
          <w:p>
            <w:pPr>
              <w:topLinePunct/>
              <w:spacing w:line="320" w:lineRule="exact"/>
              <w:rPr>
                <w:rFonts w:ascii="仿宋_GB2312" w:hAnsi="宋体" w:eastAsia="仿宋_GB2312"/>
                <w:bCs/>
                <w:spacing w:val="-20"/>
                <w:szCs w:val="21"/>
              </w:rPr>
            </w:pPr>
            <w:r>
              <w:rPr>
                <w:rFonts w:hint="eastAsia" w:ascii="仿宋_GB2312" w:hAnsi="宋体" w:eastAsia="仿宋_GB2312"/>
                <w:bCs/>
                <w:spacing w:val="-20"/>
                <w:szCs w:val="21"/>
              </w:rPr>
              <w:t>二、累计折旧</w:t>
            </w:r>
          </w:p>
        </w:tc>
        <w:tc>
          <w:tcPr>
            <w:tcW w:w="1578" w:type="dxa"/>
            <w:tcBorders>
              <w:top w:val="single" w:color="auto" w:sz="4" w:space="0"/>
            </w:tcBorders>
            <w:vAlign w:val="center"/>
          </w:tcPr>
          <w:p>
            <w:pPr>
              <w:topLinePunct/>
              <w:spacing w:line="320" w:lineRule="exact"/>
              <w:jc w:val="right"/>
              <w:rPr>
                <w:rFonts w:ascii="仿宋_GB2312" w:hAnsi="宋体" w:eastAsia="仿宋_GB2312"/>
                <w:spacing w:val="-20"/>
                <w:szCs w:val="21"/>
              </w:rPr>
            </w:pPr>
            <w:r>
              <w:rPr>
                <w:rFonts w:hint="eastAsia" w:ascii="仿宋_GB2312" w:eastAsia="仿宋_GB2312"/>
              </w:rPr>
              <w:t>752,106.16</w:t>
            </w:r>
          </w:p>
        </w:tc>
        <w:tc>
          <w:tcPr>
            <w:tcW w:w="1579" w:type="dxa"/>
            <w:tcBorders>
              <w:top w:val="single" w:color="auto" w:sz="4" w:space="0"/>
            </w:tcBorders>
          </w:tcPr>
          <w:p>
            <w:pPr>
              <w:spacing w:line="360" w:lineRule="exact"/>
              <w:jc w:val="right"/>
              <w:rPr>
                <w:rFonts w:ascii="仿宋_GB2312" w:hAnsi="宋体" w:eastAsia="仿宋_GB2312"/>
                <w:szCs w:val="21"/>
              </w:rPr>
            </w:pPr>
            <w:r>
              <w:rPr>
                <w:rFonts w:hint="eastAsia" w:ascii="仿宋_GB2312" w:hAnsi="宋体" w:eastAsia="仿宋_GB2312"/>
                <w:szCs w:val="21"/>
              </w:rPr>
              <w:t>82,728.73</w:t>
            </w:r>
          </w:p>
        </w:tc>
        <w:tc>
          <w:tcPr>
            <w:tcW w:w="1579" w:type="dxa"/>
            <w:tcBorders>
              <w:top w:val="single" w:color="auto" w:sz="4" w:space="0"/>
            </w:tcBorders>
            <w:vAlign w:val="center"/>
          </w:tcPr>
          <w:p>
            <w:pPr>
              <w:topLinePunct/>
              <w:spacing w:line="320" w:lineRule="exact"/>
              <w:jc w:val="right"/>
              <w:rPr>
                <w:rFonts w:ascii="仿宋_GB2312" w:hAnsi="宋体" w:eastAsia="仿宋_GB2312"/>
                <w:spacing w:val="-20"/>
                <w:szCs w:val="21"/>
              </w:rPr>
            </w:pPr>
          </w:p>
        </w:tc>
        <w:tc>
          <w:tcPr>
            <w:tcW w:w="1579" w:type="dxa"/>
            <w:tcBorders>
              <w:top w:val="single" w:color="auto" w:sz="4" w:space="0"/>
            </w:tcBorders>
            <w:vAlign w:val="center"/>
          </w:tcPr>
          <w:p>
            <w:pPr>
              <w:topLinePunct/>
              <w:spacing w:line="320" w:lineRule="exact"/>
              <w:jc w:val="right"/>
              <w:rPr>
                <w:rFonts w:ascii="仿宋_GB2312" w:hAnsi="宋体" w:eastAsia="仿宋_GB2312"/>
                <w:spacing w:val="-20"/>
                <w:szCs w:val="21"/>
              </w:rPr>
            </w:pPr>
            <w:r>
              <w:rPr>
                <w:rFonts w:hint="eastAsia" w:ascii="仿宋_GB2312" w:hAnsi="宋体" w:eastAsia="仿宋_GB2312"/>
                <w:spacing w:val="-20"/>
                <w:szCs w:val="21"/>
              </w:rPr>
              <w:t>834,834.89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2525" w:type="dxa"/>
            <w:tcBorders>
              <w:top w:val="single" w:color="auto" w:sz="4" w:space="0"/>
            </w:tcBorders>
            <w:vAlign w:val="center"/>
          </w:tcPr>
          <w:p>
            <w:pPr>
              <w:topLinePunct/>
              <w:spacing w:line="320" w:lineRule="exact"/>
              <w:rPr>
                <w:rFonts w:ascii="仿宋_GB2312" w:hAnsi="宋体" w:eastAsia="仿宋_GB2312"/>
                <w:bCs/>
                <w:spacing w:val="-20"/>
                <w:szCs w:val="21"/>
              </w:rPr>
            </w:pPr>
            <w:r>
              <w:rPr>
                <w:rFonts w:hint="eastAsia" w:ascii="仿宋_GB2312" w:hAnsi="宋体" w:eastAsia="仿宋_GB2312"/>
                <w:bCs/>
                <w:spacing w:val="-20"/>
                <w:szCs w:val="21"/>
              </w:rPr>
              <w:t>三、固定资产净值</w:t>
            </w:r>
          </w:p>
        </w:tc>
        <w:tc>
          <w:tcPr>
            <w:tcW w:w="1578" w:type="dxa"/>
            <w:tcBorders>
              <w:top w:val="single" w:color="auto" w:sz="4" w:space="0"/>
            </w:tcBorders>
            <w:vAlign w:val="center"/>
          </w:tcPr>
          <w:p>
            <w:pPr>
              <w:topLinePunct/>
              <w:spacing w:line="320" w:lineRule="exact"/>
              <w:ind w:firstLine="21" w:firstLineChars="10"/>
              <w:jc w:val="right"/>
              <w:rPr>
                <w:rFonts w:ascii="仿宋_GB2312" w:hAnsi="宋体" w:eastAsia="仿宋_GB2312"/>
                <w:spacing w:val="-20"/>
                <w:szCs w:val="21"/>
              </w:rPr>
            </w:pPr>
            <w:r>
              <w:rPr>
                <w:rFonts w:hint="eastAsia" w:ascii="仿宋_GB2312" w:eastAsia="仿宋_GB2312"/>
              </w:rPr>
              <w:t>334,998.20</w:t>
            </w:r>
          </w:p>
        </w:tc>
        <w:tc>
          <w:tcPr>
            <w:tcW w:w="1579" w:type="dxa"/>
            <w:tcBorders>
              <w:top w:val="single" w:color="auto" w:sz="4" w:space="0"/>
            </w:tcBorders>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tcBorders>
              <w:top w:val="single" w:color="auto" w:sz="4" w:space="0"/>
            </w:tcBorders>
            <w:vAlign w:val="center"/>
          </w:tcPr>
          <w:p>
            <w:pPr>
              <w:topLinePunct/>
              <w:spacing w:line="320" w:lineRule="exact"/>
              <w:ind w:firstLine="340" w:firstLineChars="200"/>
              <w:jc w:val="center"/>
              <w:rPr>
                <w:rFonts w:ascii="仿宋_GB2312" w:hAnsi="宋体" w:eastAsia="仿宋_GB2312"/>
                <w:spacing w:val="-20"/>
                <w:szCs w:val="21"/>
              </w:rPr>
            </w:pPr>
          </w:p>
        </w:tc>
        <w:tc>
          <w:tcPr>
            <w:tcW w:w="1579" w:type="dxa"/>
            <w:tcBorders>
              <w:top w:val="single" w:color="auto" w:sz="4" w:space="0"/>
            </w:tcBorders>
            <w:vAlign w:val="center"/>
          </w:tcPr>
          <w:p>
            <w:pPr>
              <w:topLinePunct/>
              <w:spacing w:line="320" w:lineRule="exact"/>
              <w:ind w:firstLine="17" w:firstLineChars="10"/>
              <w:jc w:val="right"/>
              <w:rPr>
                <w:rFonts w:ascii="仿宋_GB2312" w:hAnsi="宋体" w:eastAsia="仿宋_GB2312"/>
                <w:spacing w:val="-20"/>
                <w:szCs w:val="21"/>
              </w:rPr>
            </w:pPr>
            <w:r>
              <w:rPr>
                <w:rFonts w:hint="eastAsia" w:ascii="仿宋_GB2312" w:hAnsi="宋体" w:eastAsia="仿宋_GB2312"/>
                <w:spacing w:val="-20"/>
                <w:szCs w:val="21"/>
              </w:rPr>
              <w:t>313,014.77</w:t>
            </w:r>
          </w:p>
        </w:tc>
      </w:tr>
    </w:tbl>
    <w:p>
      <w:pPr>
        <w:spacing w:beforeLines="50" w:afterLines="100" w:line="500" w:lineRule="exact"/>
        <w:ind w:firstLine="482"/>
        <w:rPr>
          <w:rFonts w:ascii="仿宋_GB2312" w:hAnsi="宋体" w:eastAsia="仿宋_GB2312"/>
          <w:b/>
          <w:sz w:val="24"/>
        </w:rPr>
      </w:pPr>
      <w:r>
        <w:rPr>
          <w:rFonts w:hint="eastAsia" w:ascii="仿宋_GB2312" w:hAnsi="宋体" w:eastAsia="仿宋_GB2312"/>
          <w:b/>
          <w:sz w:val="24"/>
        </w:rPr>
        <w:t>注释3、预收账款明细</w:t>
      </w:r>
    </w:p>
    <w:tbl>
      <w:tblPr>
        <w:tblStyle w:val="9"/>
        <w:tblW w:w="894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2334"/>
        <w:gridCol w:w="2335"/>
        <w:gridCol w:w="2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938" w:type="dxa"/>
            <w:vAlign w:val="center"/>
          </w:tcPr>
          <w:p>
            <w:pPr>
              <w:spacing w:line="380" w:lineRule="exact"/>
              <w:ind w:firstLine="34" w:firstLineChars="14"/>
              <w:jc w:val="center"/>
              <w:rPr>
                <w:rFonts w:ascii="仿宋_GB2312" w:hAnsi="宋体" w:eastAsia="仿宋_GB2312"/>
                <w:sz w:val="24"/>
              </w:rPr>
            </w:pPr>
            <w:r>
              <w:rPr>
                <w:rFonts w:hint="eastAsia" w:ascii="仿宋_GB2312" w:hAnsi="宋体" w:eastAsia="仿宋_GB2312"/>
                <w:sz w:val="24"/>
              </w:rPr>
              <w:t>债权人名称</w:t>
            </w:r>
          </w:p>
        </w:tc>
        <w:tc>
          <w:tcPr>
            <w:tcW w:w="23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年末余额</w:t>
            </w:r>
          </w:p>
        </w:tc>
        <w:tc>
          <w:tcPr>
            <w:tcW w:w="2335"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经济内容</w:t>
            </w:r>
          </w:p>
        </w:tc>
        <w:tc>
          <w:tcPr>
            <w:tcW w:w="2333"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账  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93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保教费</w:t>
            </w:r>
          </w:p>
        </w:tc>
        <w:tc>
          <w:tcPr>
            <w:tcW w:w="23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80,400.00</w:t>
            </w:r>
          </w:p>
        </w:tc>
        <w:tc>
          <w:tcPr>
            <w:tcW w:w="2335"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预收1月份保教费</w:t>
            </w:r>
          </w:p>
        </w:tc>
        <w:tc>
          <w:tcPr>
            <w:tcW w:w="2333"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93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伙食费</w:t>
            </w:r>
          </w:p>
        </w:tc>
        <w:tc>
          <w:tcPr>
            <w:tcW w:w="23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21,700.00</w:t>
            </w:r>
          </w:p>
        </w:tc>
        <w:tc>
          <w:tcPr>
            <w:tcW w:w="2335"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预收1月份保教费</w:t>
            </w:r>
          </w:p>
        </w:tc>
        <w:tc>
          <w:tcPr>
            <w:tcW w:w="2333"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193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合    计</w:t>
            </w:r>
          </w:p>
        </w:tc>
        <w:tc>
          <w:tcPr>
            <w:tcW w:w="23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102,100.00</w:t>
            </w:r>
          </w:p>
        </w:tc>
        <w:tc>
          <w:tcPr>
            <w:tcW w:w="2335" w:type="dxa"/>
            <w:vAlign w:val="center"/>
          </w:tcPr>
          <w:p>
            <w:pPr>
              <w:spacing w:line="380" w:lineRule="exact"/>
              <w:jc w:val="center"/>
              <w:rPr>
                <w:rFonts w:ascii="仿宋_GB2312" w:hAnsi="宋体" w:eastAsia="仿宋_GB2312"/>
                <w:sz w:val="24"/>
              </w:rPr>
            </w:pPr>
          </w:p>
        </w:tc>
        <w:tc>
          <w:tcPr>
            <w:tcW w:w="2333" w:type="dxa"/>
            <w:vAlign w:val="center"/>
          </w:tcPr>
          <w:p>
            <w:pPr>
              <w:spacing w:line="380" w:lineRule="exact"/>
              <w:jc w:val="center"/>
              <w:rPr>
                <w:rFonts w:ascii="仿宋_GB2312" w:hAnsi="宋体" w:eastAsia="仿宋_GB2312"/>
                <w:sz w:val="24"/>
              </w:rPr>
            </w:pPr>
          </w:p>
        </w:tc>
      </w:tr>
    </w:tbl>
    <w:p>
      <w:pPr>
        <w:spacing w:beforeLines="50" w:afterLines="100" w:line="500" w:lineRule="exact"/>
        <w:ind w:firstLine="482"/>
        <w:rPr>
          <w:rFonts w:ascii="仿宋_GB2312" w:hAnsi="宋体" w:eastAsia="仿宋_GB2312"/>
          <w:b/>
          <w:sz w:val="24"/>
        </w:rPr>
      </w:pPr>
      <w:r>
        <w:rPr>
          <w:rFonts w:hint="eastAsia" w:ascii="仿宋_GB2312" w:hAnsi="宋体" w:eastAsia="仿宋_GB2312"/>
          <w:b/>
          <w:sz w:val="24"/>
        </w:rPr>
        <w:t>注释4、其他应付款明细</w:t>
      </w:r>
    </w:p>
    <w:tbl>
      <w:tblPr>
        <w:tblStyle w:val="9"/>
        <w:tblW w:w="892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2329"/>
        <w:gridCol w:w="2328"/>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9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债权人名称</w:t>
            </w:r>
          </w:p>
        </w:tc>
        <w:tc>
          <w:tcPr>
            <w:tcW w:w="2329"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年末余额</w:t>
            </w:r>
          </w:p>
        </w:tc>
        <w:tc>
          <w:tcPr>
            <w:tcW w:w="232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经济内容</w:t>
            </w:r>
          </w:p>
        </w:tc>
        <w:tc>
          <w:tcPr>
            <w:tcW w:w="2329"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账  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9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代收费</w:t>
            </w:r>
          </w:p>
        </w:tc>
        <w:tc>
          <w:tcPr>
            <w:tcW w:w="2329" w:type="dxa"/>
            <w:vAlign w:val="center"/>
          </w:tcPr>
          <w:p>
            <w:pPr>
              <w:spacing w:line="380" w:lineRule="exact"/>
              <w:jc w:val="right"/>
              <w:rPr>
                <w:rFonts w:ascii="仿宋_GB2312" w:hAnsi="宋体" w:eastAsia="仿宋_GB2312"/>
                <w:sz w:val="24"/>
              </w:rPr>
            </w:pPr>
            <w:r>
              <w:rPr>
                <w:rFonts w:hint="eastAsia" w:ascii="仿宋_GB2312" w:hAnsi="宋体" w:eastAsia="仿宋_GB2312"/>
                <w:sz w:val="24"/>
              </w:rPr>
              <w:t>-6,679.15</w:t>
            </w:r>
          </w:p>
        </w:tc>
        <w:tc>
          <w:tcPr>
            <w:tcW w:w="232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代收代付款项</w:t>
            </w:r>
          </w:p>
        </w:tc>
        <w:tc>
          <w:tcPr>
            <w:tcW w:w="2329"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9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成长补贴</w:t>
            </w:r>
          </w:p>
        </w:tc>
        <w:tc>
          <w:tcPr>
            <w:tcW w:w="2329" w:type="dxa"/>
            <w:vAlign w:val="center"/>
          </w:tcPr>
          <w:p>
            <w:pPr>
              <w:spacing w:line="380" w:lineRule="exact"/>
              <w:jc w:val="right"/>
              <w:rPr>
                <w:rFonts w:ascii="仿宋_GB2312" w:hAnsi="宋体" w:eastAsia="仿宋_GB2312"/>
                <w:sz w:val="24"/>
              </w:rPr>
            </w:pPr>
            <w:r>
              <w:rPr>
                <w:rFonts w:hint="eastAsia" w:ascii="仿宋_GB2312" w:hAnsi="宋体" w:eastAsia="仿宋_GB2312"/>
                <w:sz w:val="24"/>
              </w:rPr>
              <w:t>3,580.20</w:t>
            </w:r>
          </w:p>
        </w:tc>
        <w:tc>
          <w:tcPr>
            <w:tcW w:w="232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代收成长补贴</w:t>
            </w:r>
          </w:p>
        </w:tc>
        <w:tc>
          <w:tcPr>
            <w:tcW w:w="2329" w:type="dxa"/>
            <w:vAlign w:val="center"/>
          </w:tcPr>
          <w:p>
            <w:pPr>
              <w:spacing w:line="380" w:lineRule="exact"/>
              <w:jc w:val="center"/>
              <w:rPr>
                <w:rFonts w:ascii="仿宋_GB2312" w:eastAsia="仿宋_GB2312"/>
                <w:sz w:val="24"/>
                <w:szCs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9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教师补贴</w:t>
            </w:r>
          </w:p>
        </w:tc>
        <w:tc>
          <w:tcPr>
            <w:tcW w:w="2329" w:type="dxa"/>
            <w:vAlign w:val="center"/>
          </w:tcPr>
          <w:p>
            <w:pPr>
              <w:spacing w:line="380" w:lineRule="exact"/>
              <w:jc w:val="right"/>
              <w:rPr>
                <w:rFonts w:ascii="仿宋_GB2312" w:hAnsi="宋体" w:eastAsia="仿宋_GB2312"/>
                <w:sz w:val="24"/>
              </w:rPr>
            </w:pPr>
            <w:r>
              <w:rPr>
                <w:rFonts w:hint="eastAsia" w:ascii="仿宋_GB2312" w:hAnsi="宋体" w:eastAsia="仿宋_GB2312"/>
                <w:sz w:val="24"/>
              </w:rPr>
              <w:t>6,000.00</w:t>
            </w:r>
          </w:p>
        </w:tc>
        <w:tc>
          <w:tcPr>
            <w:tcW w:w="232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代收对教师的补贴</w:t>
            </w:r>
          </w:p>
        </w:tc>
        <w:tc>
          <w:tcPr>
            <w:tcW w:w="2329" w:type="dxa"/>
            <w:vAlign w:val="center"/>
          </w:tcPr>
          <w:p>
            <w:pPr>
              <w:spacing w:line="380" w:lineRule="exact"/>
              <w:jc w:val="center"/>
              <w:rPr>
                <w:rFonts w:ascii="仿宋_GB2312" w:eastAsia="仿宋_GB2312"/>
                <w:sz w:val="24"/>
                <w:szCs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9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文华</w:t>
            </w:r>
          </w:p>
        </w:tc>
        <w:tc>
          <w:tcPr>
            <w:tcW w:w="2329" w:type="dxa"/>
            <w:vAlign w:val="center"/>
          </w:tcPr>
          <w:p>
            <w:pPr>
              <w:spacing w:line="380" w:lineRule="exact"/>
              <w:jc w:val="right"/>
              <w:rPr>
                <w:rFonts w:ascii="仿宋_GB2312" w:hAnsi="宋体" w:eastAsia="仿宋_GB2312"/>
                <w:sz w:val="24"/>
              </w:rPr>
            </w:pPr>
            <w:r>
              <w:rPr>
                <w:rFonts w:hint="eastAsia" w:ascii="仿宋_GB2312" w:hAnsi="宋体" w:eastAsia="仿宋_GB2312"/>
                <w:sz w:val="24"/>
              </w:rPr>
              <w:t>490,000.00</w:t>
            </w:r>
          </w:p>
        </w:tc>
        <w:tc>
          <w:tcPr>
            <w:tcW w:w="2328"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往来款</w:t>
            </w:r>
          </w:p>
        </w:tc>
        <w:tc>
          <w:tcPr>
            <w:tcW w:w="2329" w:type="dxa"/>
            <w:vAlign w:val="center"/>
          </w:tcPr>
          <w:p>
            <w:pPr>
              <w:spacing w:line="380" w:lineRule="exact"/>
              <w:jc w:val="center"/>
              <w:rPr>
                <w:rFonts w:ascii="仿宋_GB2312" w:hAnsi="宋体" w:eastAsia="仿宋_GB2312"/>
                <w:sz w:val="24"/>
              </w:rPr>
            </w:pPr>
            <w:r>
              <w:rPr>
                <w:rFonts w:hint="eastAsia" w:ascii="仿宋_GB2312" w:eastAsia="仿宋_GB2312"/>
                <w:sz w:val="24"/>
                <w:szCs w:val="24"/>
              </w:rPr>
              <w:t>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1934" w:type="dxa"/>
            <w:vAlign w:val="center"/>
          </w:tcPr>
          <w:p>
            <w:pPr>
              <w:spacing w:line="380" w:lineRule="exact"/>
              <w:jc w:val="center"/>
              <w:rPr>
                <w:rFonts w:ascii="仿宋_GB2312" w:hAnsi="宋体" w:eastAsia="仿宋_GB2312"/>
                <w:sz w:val="24"/>
              </w:rPr>
            </w:pPr>
            <w:r>
              <w:rPr>
                <w:rFonts w:hint="eastAsia" w:ascii="仿宋_GB2312" w:hAnsi="宋体" w:eastAsia="仿宋_GB2312"/>
                <w:sz w:val="24"/>
              </w:rPr>
              <w:t>合    计</w:t>
            </w:r>
          </w:p>
        </w:tc>
        <w:tc>
          <w:tcPr>
            <w:tcW w:w="2329" w:type="dxa"/>
            <w:vAlign w:val="center"/>
          </w:tcPr>
          <w:p>
            <w:pPr>
              <w:spacing w:line="380" w:lineRule="exact"/>
              <w:jc w:val="right"/>
              <w:rPr>
                <w:rFonts w:ascii="仿宋_GB2312" w:hAnsi="宋体" w:eastAsia="仿宋_GB2312"/>
                <w:sz w:val="24"/>
              </w:rPr>
            </w:pPr>
            <w:r>
              <w:rPr>
                <w:rFonts w:hint="eastAsia" w:ascii="仿宋_GB2312" w:hAnsi="宋体" w:eastAsia="仿宋_GB2312"/>
                <w:sz w:val="24"/>
              </w:rPr>
              <w:t>492,901.05</w:t>
            </w:r>
          </w:p>
        </w:tc>
        <w:tc>
          <w:tcPr>
            <w:tcW w:w="2328" w:type="dxa"/>
          </w:tcPr>
          <w:p>
            <w:pPr>
              <w:spacing w:line="380" w:lineRule="exact"/>
              <w:rPr>
                <w:rFonts w:ascii="仿宋_GB2312" w:hAnsi="宋体" w:eastAsia="仿宋_GB2312"/>
                <w:sz w:val="24"/>
              </w:rPr>
            </w:pPr>
          </w:p>
        </w:tc>
        <w:tc>
          <w:tcPr>
            <w:tcW w:w="2329" w:type="dxa"/>
          </w:tcPr>
          <w:p>
            <w:pPr>
              <w:spacing w:line="380" w:lineRule="exact"/>
              <w:rPr>
                <w:rFonts w:ascii="仿宋_GB2312" w:hAnsi="宋体" w:eastAsia="仿宋_GB2312"/>
                <w:sz w:val="24"/>
              </w:rPr>
            </w:pPr>
          </w:p>
        </w:tc>
      </w:tr>
    </w:tbl>
    <w:p>
      <w:pPr>
        <w:spacing w:beforeLines="100" w:afterLines="100" w:line="420" w:lineRule="exact"/>
        <w:ind w:firstLine="482" w:firstLineChars="200"/>
        <w:rPr>
          <w:rFonts w:ascii="仿宋_GB2312" w:hAnsi="宋体" w:eastAsia="仿宋_GB2312"/>
          <w:b/>
          <w:sz w:val="24"/>
        </w:rPr>
      </w:pPr>
      <w:r>
        <w:rPr>
          <w:rFonts w:hint="eastAsia" w:ascii="仿宋_GB2312" w:hAnsi="宋体" w:eastAsia="仿宋_GB2312"/>
          <w:b/>
          <w:sz w:val="24"/>
        </w:rPr>
        <w:t>注释5、实收资本</w:t>
      </w:r>
    </w:p>
    <w:tbl>
      <w:tblPr>
        <w:tblStyle w:val="9"/>
        <w:tblW w:w="880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1692"/>
        <w:gridCol w:w="1693"/>
        <w:gridCol w:w="1693"/>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6" w:hRule="atLeast"/>
        </w:trPr>
        <w:tc>
          <w:tcPr>
            <w:tcW w:w="2029" w:type="dxa"/>
            <w:vMerge w:val="restart"/>
            <w:vAlign w:val="center"/>
          </w:tcPr>
          <w:p>
            <w:pPr>
              <w:spacing w:line="420" w:lineRule="exact"/>
              <w:ind w:left="-109" w:leftChars="-52" w:firstLine="646" w:firstLineChars="323"/>
              <w:rPr>
                <w:rFonts w:ascii="仿宋_GB2312" w:hAnsi="宋体" w:eastAsia="仿宋_GB2312"/>
                <w:bCs/>
                <w:spacing w:val="-20"/>
                <w:sz w:val="24"/>
              </w:rPr>
            </w:pPr>
            <w:r>
              <w:rPr>
                <w:rFonts w:hint="eastAsia" w:ascii="仿宋_GB2312" w:hAnsi="宋体" w:eastAsia="仿宋_GB2312"/>
                <w:bCs/>
                <w:spacing w:val="-20"/>
                <w:sz w:val="24"/>
              </w:rPr>
              <w:t>投资主体</w:t>
            </w:r>
          </w:p>
        </w:tc>
        <w:tc>
          <w:tcPr>
            <w:tcW w:w="3385" w:type="dxa"/>
            <w:gridSpan w:val="2"/>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约 定 出 资</w:t>
            </w:r>
          </w:p>
        </w:tc>
        <w:tc>
          <w:tcPr>
            <w:tcW w:w="3386" w:type="dxa"/>
            <w:gridSpan w:val="2"/>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实 际 出 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6" w:hRule="atLeast"/>
        </w:trPr>
        <w:tc>
          <w:tcPr>
            <w:tcW w:w="2029" w:type="dxa"/>
            <w:vMerge w:val="continue"/>
          </w:tcPr>
          <w:p>
            <w:pPr>
              <w:spacing w:line="420" w:lineRule="exact"/>
              <w:ind w:right="-1002" w:rightChars="-477"/>
              <w:rPr>
                <w:rFonts w:ascii="仿宋_GB2312" w:hAnsi="宋体" w:eastAsia="仿宋_GB2312"/>
                <w:bCs/>
                <w:spacing w:val="-20"/>
                <w:sz w:val="24"/>
              </w:rPr>
            </w:pPr>
          </w:p>
        </w:tc>
        <w:tc>
          <w:tcPr>
            <w:tcW w:w="1692" w:type="dxa"/>
            <w:vAlign w:val="center"/>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比  例</w:t>
            </w:r>
          </w:p>
        </w:tc>
        <w:tc>
          <w:tcPr>
            <w:tcW w:w="1693" w:type="dxa"/>
            <w:vAlign w:val="center"/>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出资额</w:t>
            </w:r>
          </w:p>
        </w:tc>
        <w:tc>
          <w:tcPr>
            <w:tcW w:w="1693" w:type="dxa"/>
            <w:vAlign w:val="center"/>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比例</w:t>
            </w:r>
          </w:p>
        </w:tc>
        <w:tc>
          <w:tcPr>
            <w:tcW w:w="1693" w:type="dxa"/>
            <w:vAlign w:val="center"/>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出资额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2029" w:type="dxa"/>
          </w:tcPr>
          <w:p>
            <w:pPr>
              <w:spacing w:line="380" w:lineRule="exact"/>
              <w:jc w:val="center"/>
              <w:rPr>
                <w:rFonts w:ascii="仿宋_GB2312" w:hAnsi="宋体" w:eastAsia="仿宋_GB2312"/>
                <w:sz w:val="24"/>
              </w:rPr>
            </w:pPr>
            <w:r>
              <w:rPr>
                <w:rFonts w:hint="eastAsia" w:ascii="仿宋_GB2312" w:hAnsi="宋体" w:eastAsia="仿宋_GB2312" w:cs="宋体"/>
                <w:sz w:val="24"/>
              </w:rPr>
              <w:t>文华</w:t>
            </w:r>
          </w:p>
        </w:tc>
        <w:tc>
          <w:tcPr>
            <w:tcW w:w="1692"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100%</w:t>
            </w:r>
          </w:p>
        </w:tc>
        <w:tc>
          <w:tcPr>
            <w:tcW w:w="1693"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50,000.00</w:t>
            </w:r>
          </w:p>
        </w:tc>
        <w:tc>
          <w:tcPr>
            <w:tcW w:w="1693"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100%</w:t>
            </w:r>
          </w:p>
        </w:tc>
        <w:tc>
          <w:tcPr>
            <w:tcW w:w="1693" w:type="dxa"/>
          </w:tcPr>
          <w:p>
            <w:pPr>
              <w:spacing w:line="420" w:lineRule="exact"/>
              <w:jc w:val="center"/>
              <w:rPr>
                <w:rFonts w:ascii="仿宋_GB2312" w:hAnsi="宋体" w:eastAsia="仿宋_GB2312"/>
                <w:bCs/>
                <w:spacing w:val="-20"/>
                <w:sz w:val="24"/>
              </w:rPr>
            </w:pPr>
            <w:r>
              <w:rPr>
                <w:rFonts w:ascii="仿宋_GB2312" w:hAnsi="宋体" w:eastAsia="仿宋_GB2312"/>
                <w:bCs/>
                <w:spacing w:val="-20"/>
                <w:sz w:val="24"/>
              </w:rPr>
              <w:t>714</w:t>
            </w:r>
            <w:r>
              <w:rPr>
                <w:rFonts w:hint="eastAsia" w:ascii="仿宋_GB2312" w:hAnsi="宋体" w:eastAsia="仿宋_GB2312"/>
                <w:bCs/>
                <w:spacing w:val="-20"/>
                <w:sz w:val="24"/>
              </w:rPr>
              <w:t>,</w:t>
            </w:r>
            <w:r>
              <w:rPr>
                <w:rFonts w:ascii="仿宋_GB2312" w:hAnsi="宋体" w:eastAsia="仿宋_GB2312"/>
                <w:bCs/>
                <w:spacing w:val="-20"/>
                <w:sz w:val="24"/>
              </w:rPr>
              <w:t>838.29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2029"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合   计</w:t>
            </w:r>
          </w:p>
        </w:tc>
        <w:tc>
          <w:tcPr>
            <w:tcW w:w="1692"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100%</w:t>
            </w:r>
          </w:p>
        </w:tc>
        <w:tc>
          <w:tcPr>
            <w:tcW w:w="1693"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50,000.00</w:t>
            </w:r>
          </w:p>
        </w:tc>
        <w:tc>
          <w:tcPr>
            <w:tcW w:w="1693" w:type="dxa"/>
          </w:tcPr>
          <w:p>
            <w:pPr>
              <w:spacing w:line="420" w:lineRule="exact"/>
              <w:jc w:val="center"/>
              <w:rPr>
                <w:rFonts w:ascii="仿宋_GB2312" w:hAnsi="宋体" w:eastAsia="仿宋_GB2312"/>
                <w:bCs/>
                <w:spacing w:val="-20"/>
                <w:sz w:val="24"/>
              </w:rPr>
            </w:pPr>
            <w:r>
              <w:rPr>
                <w:rFonts w:hint="eastAsia" w:ascii="仿宋_GB2312" w:hAnsi="宋体" w:eastAsia="仿宋_GB2312"/>
                <w:bCs/>
                <w:spacing w:val="-20"/>
                <w:sz w:val="24"/>
              </w:rPr>
              <w:t>100%</w:t>
            </w:r>
          </w:p>
        </w:tc>
        <w:tc>
          <w:tcPr>
            <w:tcW w:w="1693" w:type="dxa"/>
          </w:tcPr>
          <w:p>
            <w:pPr>
              <w:spacing w:line="420" w:lineRule="exact"/>
              <w:jc w:val="center"/>
              <w:rPr>
                <w:rFonts w:ascii="仿宋_GB2312" w:hAnsi="宋体" w:eastAsia="仿宋_GB2312"/>
                <w:bCs/>
                <w:spacing w:val="-20"/>
                <w:sz w:val="24"/>
              </w:rPr>
            </w:pPr>
            <w:r>
              <w:rPr>
                <w:rFonts w:ascii="仿宋_GB2312" w:hAnsi="宋体" w:eastAsia="仿宋_GB2312"/>
                <w:bCs/>
                <w:spacing w:val="-20"/>
                <w:sz w:val="24"/>
              </w:rPr>
              <w:t>714</w:t>
            </w:r>
            <w:r>
              <w:rPr>
                <w:rFonts w:hint="eastAsia" w:ascii="仿宋_GB2312" w:hAnsi="宋体" w:eastAsia="仿宋_GB2312"/>
                <w:bCs/>
                <w:spacing w:val="-20"/>
                <w:sz w:val="24"/>
              </w:rPr>
              <w:t>,</w:t>
            </w:r>
            <w:r>
              <w:rPr>
                <w:rFonts w:ascii="仿宋_GB2312" w:hAnsi="宋体" w:eastAsia="仿宋_GB2312"/>
                <w:bCs/>
                <w:spacing w:val="-20"/>
                <w:sz w:val="24"/>
              </w:rPr>
              <w:t>838.29</w:t>
            </w:r>
          </w:p>
        </w:tc>
      </w:tr>
    </w:tbl>
    <w:p>
      <w:pPr>
        <w:spacing w:beforeLines="100" w:afterLines="100" w:line="420" w:lineRule="exact"/>
        <w:ind w:firstLine="482"/>
        <w:rPr>
          <w:rFonts w:ascii="仿宋_GB2312" w:hAnsi="宋体" w:eastAsia="仿宋_GB2312"/>
          <w:b/>
          <w:sz w:val="24"/>
        </w:rPr>
      </w:pPr>
      <w:r>
        <w:rPr>
          <w:rFonts w:hint="eastAsia" w:ascii="仿宋_GB2312" w:hAnsi="宋体" w:eastAsia="仿宋_GB2312"/>
          <w:b/>
          <w:sz w:val="24"/>
        </w:rPr>
        <w:t>注释6、收入</w:t>
      </w:r>
    </w:p>
    <w:tbl>
      <w:tblPr>
        <w:tblStyle w:val="9"/>
        <w:tblW w:w="883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3"/>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625" w:firstLine="240" w:firstLineChars="100"/>
              <w:jc w:val="left"/>
              <w:rPr>
                <w:rFonts w:ascii="仿宋_GB2312" w:hAnsi="宋体" w:eastAsia="仿宋_GB2312"/>
                <w:sz w:val="24"/>
              </w:rPr>
            </w:pPr>
            <w:r>
              <w:rPr>
                <w:rFonts w:hint="eastAsia" w:ascii="仿宋_GB2312" w:hAnsi="宋体" w:eastAsia="仿宋_GB2312"/>
                <w:sz w:val="24"/>
              </w:rPr>
              <w:t>1．营业收入</w:t>
            </w:r>
          </w:p>
        </w:tc>
        <w:tc>
          <w:tcPr>
            <w:tcW w:w="4087" w:type="dxa"/>
            <w:vAlign w:val="center"/>
          </w:tcPr>
          <w:p>
            <w:pPr>
              <w:spacing w:line="420" w:lineRule="exact"/>
              <w:ind w:right="-625" w:firstLine="1560" w:firstLineChars="650"/>
              <w:jc w:val="center"/>
              <w:rPr>
                <w:rFonts w:ascii="仿宋_GB2312" w:hAnsi="宋体" w:eastAsia="仿宋_GB2312"/>
                <w:sz w:val="24"/>
              </w:rPr>
            </w:pPr>
            <w:r>
              <w:rPr>
                <w:rFonts w:hint="eastAsia" w:ascii="仿宋_GB2312" w:hAnsi="宋体" w:eastAsia="仿宋_GB2312"/>
                <w:bCs/>
                <w:sz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1683"/>
              <w:jc w:val="left"/>
              <w:rPr>
                <w:rFonts w:ascii="仿宋_GB2312" w:hAnsi="宋体" w:eastAsia="仿宋_GB2312"/>
                <w:sz w:val="24"/>
              </w:rPr>
            </w:pPr>
            <w:r>
              <w:rPr>
                <w:rFonts w:hint="eastAsia" w:ascii="仿宋_GB2312" w:hAnsi="宋体" w:eastAsia="仿宋_GB2312"/>
                <w:sz w:val="24"/>
              </w:rPr>
              <w:t>A．保教费收入</w:t>
            </w:r>
          </w:p>
        </w:tc>
        <w:tc>
          <w:tcPr>
            <w:tcW w:w="4087" w:type="dxa"/>
            <w:vAlign w:val="center"/>
          </w:tcPr>
          <w:p>
            <w:pPr>
              <w:spacing w:line="420" w:lineRule="exact"/>
              <w:ind w:right="-7"/>
              <w:jc w:val="right"/>
              <w:rPr>
                <w:rFonts w:ascii="仿宋_GB2312" w:hAnsi="宋体" w:eastAsia="仿宋_GB2312"/>
                <w:sz w:val="24"/>
              </w:rPr>
            </w:pPr>
            <w:r>
              <w:rPr>
                <w:rFonts w:hint="eastAsia" w:ascii="仿宋_GB2312" w:hAnsi="宋体" w:eastAsia="仿宋_GB2312"/>
                <w:sz w:val="24"/>
              </w:rPr>
              <w:t>2,775,500.00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1683"/>
              <w:jc w:val="left"/>
              <w:rPr>
                <w:rFonts w:ascii="仿宋_GB2312" w:hAnsi="宋体" w:eastAsia="仿宋_GB2312"/>
                <w:sz w:val="24"/>
              </w:rPr>
            </w:pPr>
            <w:r>
              <w:rPr>
                <w:rFonts w:hint="eastAsia" w:ascii="仿宋_GB2312" w:hAnsi="宋体" w:eastAsia="仿宋_GB2312"/>
                <w:sz w:val="24"/>
              </w:rPr>
              <w:t>B．伙食费收入</w:t>
            </w:r>
          </w:p>
        </w:tc>
        <w:tc>
          <w:tcPr>
            <w:tcW w:w="4087" w:type="dxa"/>
            <w:vAlign w:val="center"/>
          </w:tcPr>
          <w:p>
            <w:pPr>
              <w:spacing w:line="420" w:lineRule="exact"/>
              <w:ind w:right="-7"/>
              <w:jc w:val="right"/>
              <w:rPr>
                <w:rFonts w:ascii="仿宋_GB2312" w:hAnsi="宋体" w:eastAsia="仿宋_GB2312"/>
                <w:sz w:val="24"/>
              </w:rPr>
            </w:pPr>
            <w:r>
              <w:rPr>
                <w:rFonts w:hint="eastAsia" w:ascii="仿宋_GB2312" w:hAnsi="宋体" w:eastAsia="仿宋_GB2312"/>
                <w:sz w:val="24"/>
              </w:rPr>
              <w:t>556,006.30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1683"/>
              <w:jc w:val="left"/>
              <w:rPr>
                <w:rFonts w:ascii="仿宋_GB2312" w:hAnsi="宋体" w:eastAsia="仿宋_GB2312"/>
                <w:sz w:val="24"/>
              </w:rPr>
            </w:pPr>
            <w:r>
              <w:rPr>
                <w:rFonts w:hint="eastAsia" w:ascii="仿宋_GB2312" w:hAnsi="宋体" w:eastAsia="仿宋_GB2312"/>
                <w:sz w:val="24"/>
              </w:rPr>
              <w:t>C. 校车费收入</w:t>
            </w:r>
          </w:p>
        </w:tc>
        <w:tc>
          <w:tcPr>
            <w:tcW w:w="4087" w:type="dxa"/>
            <w:vAlign w:val="center"/>
          </w:tcPr>
          <w:p>
            <w:pPr>
              <w:spacing w:line="420" w:lineRule="exact"/>
              <w:ind w:right="-7"/>
              <w:jc w:val="right"/>
              <w:rPr>
                <w:rFonts w:ascii="仿宋_GB2312" w:hAnsi="宋体" w:eastAsia="仿宋_GB2312"/>
                <w:sz w:val="24"/>
              </w:rPr>
            </w:pPr>
            <w:r>
              <w:rPr>
                <w:rFonts w:hint="eastAsia" w:ascii="仿宋_GB2312" w:hAnsi="宋体" w:eastAsia="仿宋_GB2312"/>
                <w:sz w:val="24"/>
              </w:rPr>
              <w:t>48,400.00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625"/>
              <w:jc w:val="left"/>
              <w:rPr>
                <w:rFonts w:ascii="仿宋_GB2312" w:hAnsi="宋体" w:eastAsia="仿宋_GB2312"/>
                <w:sz w:val="24"/>
              </w:rPr>
            </w:pPr>
            <w:r>
              <w:rPr>
                <w:rFonts w:hint="eastAsia" w:ascii="仿宋_GB2312" w:hAnsi="宋体" w:eastAsia="仿宋_GB2312"/>
                <w:sz w:val="24"/>
              </w:rPr>
              <w:t>D. 政府补贴收入</w:t>
            </w:r>
          </w:p>
        </w:tc>
        <w:tc>
          <w:tcPr>
            <w:tcW w:w="4087" w:type="dxa"/>
            <w:vAlign w:val="center"/>
          </w:tcPr>
          <w:p>
            <w:pPr>
              <w:spacing w:line="420" w:lineRule="exact"/>
              <w:ind w:right="-7"/>
              <w:jc w:val="right"/>
              <w:rPr>
                <w:rFonts w:ascii="仿宋_GB2312" w:hAnsi="宋体" w:eastAsia="仿宋_GB2312"/>
                <w:sz w:val="24"/>
              </w:rPr>
            </w:pPr>
            <w:r>
              <w:rPr>
                <w:rFonts w:hint="eastAsia" w:ascii="仿宋_GB2312" w:hAnsi="宋体" w:eastAsia="仿宋_GB2312"/>
                <w:sz w:val="24"/>
              </w:rPr>
              <w:t>297,000.00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625"/>
              <w:jc w:val="left"/>
              <w:rPr>
                <w:rFonts w:ascii="仿宋_GB2312" w:hAnsi="宋体" w:eastAsia="仿宋_GB2312"/>
                <w:sz w:val="24"/>
              </w:rPr>
            </w:pPr>
            <w:r>
              <w:rPr>
                <w:rFonts w:hint="eastAsia" w:ascii="仿宋_GB2312" w:hAnsi="宋体" w:eastAsia="仿宋_GB2312"/>
                <w:sz w:val="24"/>
              </w:rPr>
              <w:t>E. 其他收入</w:t>
            </w:r>
          </w:p>
        </w:tc>
        <w:tc>
          <w:tcPr>
            <w:tcW w:w="4087" w:type="dxa"/>
            <w:vAlign w:val="center"/>
          </w:tcPr>
          <w:p>
            <w:pPr>
              <w:spacing w:line="420" w:lineRule="exact"/>
              <w:ind w:right="-7"/>
              <w:jc w:val="right"/>
              <w:rPr>
                <w:rFonts w:ascii="仿宋_GB2312" w:hAnsi="宋体" w:eastAsia="仿宋_GB2312"/>
                <w:sz w:val="24"/>
              </w:rPr>
            </w:pPr>
            <w:r>
              <w:rPr>
                <w:rFonts w:hint="eastAsia" w:ascii="仿宋_GB2312" w:hAnsi="宋体" w:eastAsia="仿宋_GB2312"/>
                <w:sz w:val="24"/>
              </w:rPr>
              <w:t>453.15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743" w:type="dxa"/>
            <w:vAlign w:val="center"/>
          </w:tcPr>
          <w:p>
            <w:pPr>
              <w:spacing w:line="420" w:lineRule="exact"/>
              <w:ind w:right="-625" w:firstLine="2400" w:firstLineChars="1000"/>
              <w:jc w:val="left"/>
              <w:rPr>
                <w:rFonts w:ascii="仿宋_GB2312" w:hAnsi="宋体" w:eastAsia="仿宋_GB2312"/>
                <w:sz w:val="24"/>
              </w:rPr>
            </w:pPr>
            <w:r>
              <w:rPr>
                <w:rFonts w:hint="eastAsia" w:ascii="仿宋_GB2312" w:hAnsi="宋体" w:eastAsia="仿宋_GB2312"/>
                <w:sz w:val="24"/>
              </w:rPr>
              <w:t>合计</w:t>
            </w:r>
          </w:p>
        </w:tc>
        <w:tc>
          <w:tcPr>
            <w:tcW w:w="4087" w:type="dxa"/>
            <w:vAlign w:val="center"/>
          </w:tcPr>
          <w:p>
            <w:pPr>
              <w:spacing w:line="420" w:lineRule="exact"/>
              <w:ind w:right="-7"/>
              <w:jc w:val="right"/>
              <w:rPr>
                <w:rFonts w:ascii="仿宋_GB2312" w:hAnsi="宋体" w:eastAsia="仿宋_GB2312"/>
                <w:sz w:val="24"/>
              </w:rPr>
            </w:pPr>
            <w:r>
              <w:rPr>
                <w:rFonts w:hint="eastAsia" w:ascii="仿宋_GB2312" w:hAnsi="宋体" w:eastAsia="仿宋_GB2312"/>
                <w:sz w:val="24"/>
              </w:rPr>
              <w:t>3,677,359.15</w:t>
            </w:r>
          </w:p>
        </w:tc>
      </w:tr>
    </w:tbl>
    <w:p>
      <w:pPr>
        <w:spacing w:beforeLines="100" w:afterLines="50" w:line="420" w:lineRule="exact"/>
        <w:ind w:right="-624" w:firstLine="354" w:firstLineChars="147"/>
        <w:rPr>
          <w:rFonts w:ascii="仿宋_GB2312" w:hAnsi="宋体" w:eastAsia="仿宋_GB2312"/>
          <w:b/>
          <w:sz w:val="24"/>
        </w:rPr>
      </w:pPr>
      <w:r>
        <w:rPr>
          <w:rFonts w:hint="eastAsia" w:ascii="仿宋_GB2312" w:hAnsi="宋体" w:eastAsia="仿宋_GB2312"/>
          <w:b/>
          <w:sz w:val="24"/>
        </w:rPr>
        <w:t>注释7、或有事项</w:t>
      </w:r>
    </w:p>
    <w:p>
      <w:pPr>
        <w:spacing w:beforeLines="50" w:afterLines="50" w:line="440" w:lineRule="exact"/>
        <w:ind w:firstLine="480"/>
        <w:rPr>
          <w:rFonts w:ascii="仿宋_GB2312" w:hAnsi="宋体" w:eastAsia="仿宋_GB2312"/>
          <w:sz w:val="24"/>
        </w:rPr>
      </w:pPr>
      <w:r>
        <w:rPr>
          <w:rFonts w:hint="eastAsia" w:ascii="仿宋_GB2312" w:hAnsi="宋体" w:eastAsia="仿宋_GB2312"/>
          <w:sz w:val="24"/>
        </w:rPr>
        <w:t>深圳市罗湖区阳光新干线幼儿园截至2015年12月31日止未对任何单位和个人提供借款担保、保证；亦未发生任何经济诉讼和被诉事项及其他或有损失。亦无应披露的期后事项。</w:t>
      </w:r>
    </w:p>
    <w:p>
      <w:pPr>
        <w:tabs>
          <w:tab w:val="decimal" w:pos="840"/>
        </w:tabs>
        <w:spacing w:beforeLines="50" w:afterLines="50" w:line="500" w:lineRule="exact"/>
        <w:rPr>
          <w:rFonts w:ascii="仿宋_GB2312" w:hAnsi="宋体" w:eastAsia="仿宋_GB2312"/>
          <w:b/>
          <w:sz w:val="24"/>
        </w:rPr>
      </w:pPr>
      <w:r>
        <w:rPr>
          <w:rFonts w:hint="eastAsia" w:ascii="仿宋_GB2312" w:hAnsi="宋体" w:eastAsia="仿宋_GB2312"/>
          <w:b/>
          <w:sz w:val="24"/>
        </w:rPr>
        <w:t>四、需要说明的其他事项</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（一）资产、负债和净资产管理情况</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1.幼儿园园舍系小区配套幼儿园。</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2.保教费、服务性收费和代收费基本按要求存入银行或资金监管账户，未发现存入个人账户的情况，幼儿园建立了现金管理制度；并建立“三方共管账户”，纳入会计核算。</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3.幼儿园设立了固定资产明细账，核算固定资产的增减变动情况, 由专职人员进行管理并于每学期初对实物资产进行盘点。本次审计，我们根据固定资产明细账及盘点表，对大额的实物进行了抽盘，未发现存在账账、账实不符的情况。</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4. 预收的保教费按规定结转收入。</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5.幼儿园的代收费系幼儿伙食费，每月进行伙食费收支公示，幼儿园伙食费支出部分存在收据入账的情况，伙食费收支未见较大盈余。</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6.幼儿园对代收代发政府对教职工津贴和奖励、儿童健康成长补贴能够做到及时、足额发放，并纳入账内核算。</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7.本年度账面未发现幼儿园与出资人之间有大额资金往来，但本年度幼儿园本学规模较小，幼儿园的收入不足以支付幼儿园的各项开支与费用，故本年度幼儿园出资人均帮助幼儿园垫付了部分费用开支，但金额均在5万元以内，无长期挂账的情况。审计中未发现出资人(举办者)或其他有关机构或个人有抽逃或挪用办学资金情况。</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8.幼儿园本年度未接受任何捐赠。</w:t>
      </w:r>
    </w:p>
    <w:p>
      <w:pPr>
        <w:spacing w:beforeLines="50" w:afterLines="50" w:line="500" w:lineRule="exact"/>
        <w:ind w:right="-624" w:firstLine="482"/>
        <w:rPr>
          <w:rFonts w:ascii="仿宋_GB2312" w:hAnsi="宋体" w:eastAsia="仿宋_GB2312"/>
          <w:sz w:val="24"/>
        </w:rPr>
      </w:pPr>
      <w:r>
        <w:rPr>
          <w:rFonts w:hint="eastAsia" w:ascii="仿宋_GB2312" w:hAnsi="宋体" w:eastAsia="仿宋_GB2312"/>
          <w:sz w:val="24"/>
        </w:rPr>
        <w:t>（二）收入、支出和结余管理情况</w:t>
      </w:r>
    </w:p>
    <w:p>
      <w:pPr>
        <w:spacing w:beforeLines="50" w:line="420" w:lineRule="exact"/>
        <w:ind w:firstLine="480" w:firstLineChars="200"/>
        <w:rPr>
          <w:rFonts w:ascii="仿宋_GB2312" w:hAnsi="宋体" w:eastAsia="仿宋_GB2312" w:cs="宋体"/>
          <w:sz w:val="24"/>
        </w:rPr>
      </w:pPr>
      <w:r>
        <w:rPr>
          <w:rFonts w:hint="eastAsia" w:ascii="仿宋_GB2312" w:hAnsi="宋体" w:eastAsia="仿宋_GB2312"/>
          <w:sz w:val="24"/>
        </w:rPr>
        <w:t>1. 据深圳市罗湖区颁发的深圳市民办幼儿园、幼儿园、托儿所收费备案表规定：</w:t>
      </w:r>
      <w:r>
        <w:rPr>
          <w:rFonts w:hint="eastAsia" w:ascii="仿宋_GB2312" w:hAnsi="宋体" w:eastAsia="仿宋_GB2312" w:cs="宋体"/>
          <w:sz w:val="24"/>
        </w:rPr>
        <w:t>保教费1200元/生.月，代收项目伙食费</w:t>
      </w:r>
      <w:r>
        <w:rPr>
          <w:rFonts w:hint="eastAsia" w:ascii="仿宋_GB2312" w:hAnsi="宋体" w:eastAsia="仿宋_GB2312" w:cs="宋体"/>
          <w:sz w:val="24"/>
          <w:lang w:val="en-US" w:eastAsia="zh-CN"/>
        </w:rPr>
        <w:t>250</w:t>
      </w:r>
      <w:bookmarkStart w:id="2" w:name="_GoBack"/>
      <w:bookmarkEnd w:id="2"/>
      <w:r>
        <w:rPr>
          <w:rFonts w:hint="eastAsia" w:ascii="仿宋_GB2312" w:hAnsi="宋体" w:eastAsia="仿宋_GB2312" w:cs="宋体"/>
          <w:sz w:val="24"/>
        </w:rPr>
        <w:t>元/生.月，（按月结转,学期末退余款）。</w:t>
      </w:r>
    </w:p>
    <w:p>
      <w:pPr>
        <w:spacing w:beforeLines="50" w:line="420" w:lineRule="exact"/>
        <w:ind w:firstLine="480" w:firstLineChars="200"/>
        <w:rPr>
          <w:rFonts w:eastAsia="仿宋_GB2312"/>
          <w:sz w:val="24"/>
        </w:rPr>
      </w:pPr>
      <w:r>
        <w:rPr>
          <w:rFonts w:hint="eastAsia" w:eastAsia="仿宋_GB2312"/>
          <w:sz w:val="24"/>
        </w:rPr>
        <w:t>没有发现幼儿园有擅自增加收费项目、提高或降低收费标准的现象。</w:t>
      </w:r>
    </w:p>
    <w:p>
      <w:pPr>
        <w:spacing w:beforeLines="50" w:line="420" w:lineRule="exact"/>
        <w:ind w:right="-1" w:firstLine="480" w:firstLineChars="200"/>
        <w:rPr>
          <w:rFonts w:eastAsia="仿宋_GB2312"/>
          <w:sz w:val="24"/>
        </w:rPr>
      </w:pPr>
      <w:r>
        <w:rPr>
          <w:rFonts w:hint="eastAsia" w:eastAsia="仿宋_GB2312"/>
          <w:sz w:val="24"/>
        </w:rPr>
        <w:t>经审，</w:t>
      </w:r>
      <w:r>
        <w:rPr>
          <w:rFonts w:hint="eastAsia" w:ascii="仿宋_GB2312" w:hAnsi="宋体" w:eastAsia="仿宋_GB2312"/>
          <w:sz w:val="24"/>
        </w:rPr>
        <w:t>幼儿园</w:t>
      </w:r>
      <w:r>
        <w:rPr>
          <w:rFonts w:hint="eastAsia" w:eastAsia="仿宋_GB2312"/>
          <w:sz w:val="24"/>
        </w:rPr>
        <w:t>收费使用“广东省深圳市文化体育业专用发票”，向在校学生收取成本费，2015年度平均在校学</w:t>
      </w:r>
      <w:r>
        <w:rPr>
          <w:rFonts w:hint="eastAsia" w:ascii="仿宋_GB2312" w:hAnsi="宋体" w:eastAsia="仿宋_GB2312"/>
          <w:sz w:val="24"/>
        </w:rPr>
        <w:t>生257人</w:t>
      </w:r>
      <w:r>
        <w:rPr>
          <w:rFonts w:hint="eastAsia" w:eastAsia="仿宋_GB2312"/>
          <w:sz w:val="24"/>
        </w:rPr>
        <w:t>，共收入教育成本费</w:t>
      </w:r>
      <w:r>
        <w:rPr>
          <w:rFonts w:hint="eastAsia" w:ascii="仿宋_GB2312" w:hAnsi="宋体" w:eastAsia="仿宋_GB2312"/>
          <w:bCs/>
          <w:sz w:val="24"/>
          <w:szCs w:val="24"/>
        </w:rPr>
        <w:t>2,775,500.00</w:t>
      </w:r>
      <w:r>
        <w:rPr>
          <w:rFonts w:hint="eastAsia" w:eastAsia="仿宋_GB2312"/>
          <w:sz w:val="24"/>
        </w:rPr>
        <w:t>元</w:t>
      </w:r>
      <w:r>
        <w:rPr>
          <w:rFonts w:hint="eastAsia" w:ascii="仿宋_GB2312" w:eastAsia="仿宋_GB2312"/>
          <w:sz w:val="24"/>
        </w:rPr>
        <w:t>，所收</w:t>
      </w:r>
      <w:r>
        <w:rPr>
          <w:rFonts w:hint="eastAsia" w:eastAsia="仿宋_GB2312"/>
          <w:sz w:val="24"/>
        </w:rPr>
        <w:t>款项全部入帐，没有发现乱收费及隐瞒收入或账外账现象。</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2.幼儿园的政府补助收入已按教育局通知要求，制定使用计划，并按计划执行；使用过程中坚持了专款专用原则；报账手续真实、完整、有效；对政府项目资金的使用严格准确执行计划、招投标手续合规、项目实施过程监管严格到位；项目完成后的验收、入库、项目档案的建立较规范，报账、记账符合《深圳市民办校园政府资金采购报账指引》规范流程。</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3.幼儿园支出基本真实，但存在部分收据入账的情况，幼儿园的各项开支基本审批手续基本完善，未见虚列支出、挪用教育资金的情况。</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4. 阳光新干线幼儿园本年度教职工薪酬总额为1,805,193.13元、教职工人均年收入44,029.10元。</w:t>
      </w:r>
      <w:r>
        <w:rPr>
          <w:rFonts w:hint="eastAsia" w:ascii="仿宋_GB2312" w:hAnsi="宋体" w:eastAsia="仿宋_GB2312"/>
          <w:bCs/>
          <w:sz w:val="24"/>
        </w:rPr>
        <w:t>幼儿园为全部教职工办理社会保险，并购买了住房公积金，免费提供食宿</w:t>
      </w:r>
      <w:r>
        <w:rPr>
          <w:rFonts w:hint="eastAsia" w:ascii="仿宋_GB2312" w:hAnsi="宋体" w:eastAsia="仿宋_GB2312"/>
          <w:sz w:val="24"/>
        </w:rPr>
        <w:t>。无拖欠教职工工资情况，</w:t>
      </w:r>
      <w:r>
        <w:rPr>
          <w:rFonts w:hint="eastAsia" w:ascii="仿宋_GB2312" w:hAnsi="宋体" w:eastAsia="仿宋_GB2312"/>
          <w:bCs/>
          <w:sz w:val="24"/>
        </w:rPr>
        <w:t>幼儿园与全体教职工签订了劳动合同</w:t>
      </w:r>
      <w:r>
        <w:rPr>
          <w:rFonts w:hint="eastAsia" w:ascii="仿宋_GB2312" w:hAnsi="宋体" w:eastAsia="仿宋_GB2312"/>
          <w:sz w:val="24"/>
        </w:rPr>
        <w:t>。</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5. 阳光新干线幼儿园2015年度非限定性净资产增加额为97,877.07元，未向举办者分配和提取教育发展基金，本年度未发现举办者取得回报的情况。</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6.2015年度幼儿园各项经费支出合计3,578,385.89元，支出内容主要为工资、场地租赁费、膳食材料费、办公费、设备购置折旧费、书、作业本费等，没有发现抽逃、挪用教育资金情况。</w:t>
      </w:r>
    </w:p>
    <w:p>
      <w:pPr>
        <w:spacing w:beforeLines="50" w:afterLines="50" w:line="500" w:lineRule="exact"/>
        <w:ind w:right="-624" w:firstLine="482"/>
        <w:rPr>
          <w:rFonts w:ascii="仿宋_GB2312" w:hAnsi="宋体" w:eastAsia="仿宋_GB2312"/>
          <w:b/>
          <w:sz w:val="24"/>
        </w:rPr>
      </w:pPr>
      <w:r>
        <w:rPr>
          <w:rFonts w:hint="eastAsia" w:ascii="仿宋_GB2312" w:hAnsi="宋体" w:eastAsia="仿宋_GB2312"/>
          <w:b/>
          <w:sz w:val="24"/>
        </w:rPr>
        <w:t>（三）组织机构、财务人员和财务基本信息</w:t>
      </w:r>
    </w:p>
    <w:p>
      <w:pPr>
        <w:spacing w:line="500" w:lineRule="exact"/>
        <w:ind w:right="-1" w:firstLine="482"/>
        <w:rPr>
          <w:rFonts w:ascii="仿宋_GB2312" w:hAnsi="宋体" w:eastAsia="仿宋_GB2312"/>
          <w:sz w:val="24"/>
        </w:rPr>
      </w:pPr>
      <w:r>
        <w:rPr>
          <w:rFonts w:hint="eastAsia" w:ascii="仿宋_GB2312" w:hAnsi="宋体" w:eastAsia="仿宋_GB2312"/>
          <w:sz w:val="24"/>
        </w:rPr>
        <w:t>1. 阳光新干线幼儿园依法设有董事会，实行董事会领导下的园长负责制，董事会是幼儿园的决策机构。阳光新干线幼儿园制定了《财务管理制度》等管理制度和议事规则。阳光新干线幼儿园的经营方式为举办者自营。阳光新干线幼儿园的各项内部控制制度基本健全。</w:t>
      </w:r>
    </w:p>
    <w:p>
      <w:pPr>
        <w:spacing w:beforeLines="50" w:line="420" w:lineRule="exact"/>
        <w:ind w:firstLine="487" w:firstLineChars="203"/>
        <w:rPr>
          <w:rFonts w:eastAsia="仿宋_GB2312"/>
          <w:sz w:val="24"/>
        </w:rPr>
      </w:pPr>
      <w:r>
        <w:rPr>
          <w:rFonts w:hint="eastAsia" w:ascii="仿宋_GB2312" w:hAnsi="宋体" w:eastAsia="仿宋_GB2312"/>
          <w:sz w:val="24"/>
        </w:rPr>
        <w:t>2.阳光新干线幼儿园</w:t>
      </w:r>
      <w:r>
        <w:rPr>
          <w:rFonts w:hint="eastAsia" w:eastAsia="仿宋_GB2312"/>
          <w:sz w:val="24"/>
        </w:rPr>
        <w:t>依法聘用了具备任职资格的专职会计一名，专职出纳一名。会计持有会计资格证。本年度采用电脑记帐。财务人员执行回避制度</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3. 阳光新干线幼儿园按照《会计法》的相关规定编制了会计年报，内容完整，数据无误。幼儿园按规定妥善保管了财务会计资料及其他日常经济活动所形成的原始记录。未发现与举办者、举办者投资的其他机构的会计核算混同一起或者合并记账的情况。</w:t>
      </w:r>
    </w:p>
    <w:p>
      <w:pPr>
        <w:spacing w:beforeLines="50" w:afterLines="50" w:line="500" w:lineRule="exact"/>
        <w:ind w:right="-1" w:firstLine="482"/>
        <w:rPr>
          <w:rFonts w:ascii="仿宋_GB2312" w:hAnsi="宋体" w:eastAsia="仿宋_GB2312"/>
          <w:sz w:val="24"/>
        </w:rPr>
      </w:pPr>
      <w:r>
        <w:rPr>
          <w:rFonts w:hint="eastAsia" w:ascii="仿宋_GB2312" w:hAnsi="宋体" w:eastAsia="仿宋_GB2312"/>
          <w:sz w:val="24"/>
        </w:rPr>
        <w:t>4. 阳光新干线幼儿园按照《深圳市民办幼儿园财务管理办法（试行）》的要求进行会计核算、编制财务报告、计算各项服务成本；各项财务信息基本真实、完整、合规；入账收入基本真实，未发现截留收入、虚增支出、挪用办学经费和政府资助的情况。</w:t>
      </w:r>
    </w:p>
    <w:p>
      <w:pPr>
        <w:spacing w:beforeLines="50" w:afterLines="50" w:line="500" w:lineRule="exact"/>
        <w:ind w:right="-624" w:firstLine="482"/>
        <w:rPr>
          <w:rFonts w:ascii="仿宋_GB2312" w:hAnsi="宋体" w:eastAsia="仿宋_GB2312"/>
          <w:b/>
          <w:sz w:val="24"/>
        </w:rPr>
      </w:pPr>
      <w:r>
        <w:rPr>
          <w:rFonts w:hint="eastAsia" w:ascii="仿宋_GB2312" w:hAnsi="宋体" w:eastAsia="仿宋_GB2312"/>
          <w:b/>
          <w:sz w:val="24"/>
        </w:rPr>
        <w:t>五、审计建议</w:t>
      </w:r>
    </w:p>
    <w:p>
      <w:pPr>
        <w:spacing w:beforeLines="50" w:afterLines="50" w:line="420" w:lineRule="exact"/>
        <w:ind w:right="-625" w:firstLine="480" w:firstLineChars="200"/>
        <w:rPr>
          <w:rFonts w:ascii="仿宋_GB2312" w:hAnsi="宋体" w:eastAsia="仿宋_GB2312"/>
          <w:sz w:val="24"/>
        </w:rPr>
      </w:pPr>
      <w:r>
        <w:rPr>
          <w:rFonts w:hint="eastAsia" w:ascii="仿宋_GB2312" w:hAnsi="宋体" w:eastAsia="仿宋_GB2312"/>
          <w:sz w:val="24"/>
        </w:rPr>
        <w:t>1. 建议幼儿园的支出应取得有效合法票据，保证幼儿园支出的真实性及准确性。</w:t>
      </w:r>
    </w:p>
    <w:p>
      <w:pPr>
        <w:spacing w:beforeLines="50" w:afterLines="50" w:line="420" w:lineRule="exact"/>
        <w:ind w:right="-625" w:firstLine="480" w:firstLineChars="200"/>
        <w:rPr>
          <w:rFonts w:ascii="仿宋_GB2312" w:hAnsi="宋体" w:eastAsia="仿宋_GB2312"/>
          <w:sz w:val="24"/>
        </w:rPr>
      </w:pPr>
      <w:r>
        <w:rPr>
          <w:rFonts w:hint="eastAsia" w:ascii="仿宋_GB2312" w:hAnsi="宋体" w:eastAsia="仿宋_GB2312"/>
          <w:sz w:val="24"/>
        </w:rPr>
        <w:t>2. 建议幼儿园的大额收支通过银行存款核算，已保证资金的安全。</w:t>
      </w:r>
    </w:p>
    <w:p>
      <w:pPr>
        <w:spacing w:beforeLines="50" w:line="420" w:lineRule="exact"/>
        <w:ind w:firstLine="426" w:firstLineChars="203"/>
      </w:pPr>
    </w:p>
    <w:sectPr>
      <w:headerReference r:id="rId11" w:type="default"/>
      <w:footerReference r:id="rId12" w:type="default"/>
      <w:pgSz w:w="11906" w:h="16838"/>
      <w:pgMar w:top="1361" w:right="1361" w:bottom="1361" w:left="1474" w:header="851" w:footer="992" w:gutter="0"/>
      <w:pgNumType w:start="1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黑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8"/>
      </w:rPr>
      <w:fldChar w:fldCharType="begin"/>
    </w:r>
    <w:r>
      <w:rPr>
        <w:rStyle w:val="8"/>
      </w:rPr>
      <w:instrText xml:space="preserve"> PAGE </w:instrText>
    </w:r>
    <w:r>
      <w:rPr>
        <w:rStyle w:val="8"/>
      </w:rPr>
      <w:fldChar w:fldCharType="separate"/>
    </w:r>
    <w:r>
      <w:rPr>
        <w:rStyle w:val="8"/>
      </w:rPr>
      <w:t>1</w:t>
    </w:r>
    <w:r>
      <w:rPr>
        <w:rStyle w:val="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8"/>
        <w:rFonts w:hint="eastAsia"/>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690360"/>
    </w:sdtPr>
    <w:sdtContent>
      <w:p>
        <w:pPr>
          <w:pStyle w:val="5"/>
          <w:jc w:val="center"/>
        </w:pPr>
        <w:r>
          <w:fldChar w:fldCharType="begin"/>
        </w:r>
        <w:r>
          <w:instrText xml:space="preserve"> PAGE   \* MERGEFORMAT </w:instrText>
        </w:r>
        <w:r>
          <w:fldChar w:fldCharType="separate"/>
        </w:r>
        <w:r>
          <w:rPr>
            <w:lang w:val="zh-CN"/>
          </w:rPr>
          <w:t>10</w:t>
        </w:r>
        <w:r>
          <w:rPr>
            <w:lang w:val="zh-CN"/>
          </w:rPr>
          <w:fldChar w:fldCharType="end"/>
        </w:r>
      </w:p>
    </w:sdtContent>
  </w:sdt>
  <w:p>
    <w:pPr>
      <w:pStyle w:val="5"/>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9180"/>
      </w:tabs>
      <w:spacing w:before="120" w:line="460" w:lineRule="exact"/>
      <w:jc w:val="center"/>
      <w:rPr>
        <w:rFonts w:ascii="华文新魏" w:hAnsi="宋体" w:eastAsia="华文新魏"/>
        <w:b/>
        <w:spacing w:val="20"/>
        <w:sz w:val="30"/>
        <w:szCs w:val="30"/>
      </w:rPr>
    </w:pPr>
    <w:r>
      <w:rPr>
        <w:rFonts w:hint="eastAsia" w:ascii="华文新魏" w:hAnsi="宋体" w:eastAsia="华文新魏"/>
        <w:b/>
        <w:spacing w:val="20"/>
        <w:sz w:val="44"/>
        <w:szCs w:val="44"/>
      </w:rPr>
      <w:t>深圳正宏会计师事务所</w:t>
    </w:r>
    <w:r>
      <w:rPr>
        <w:rFonts w:hint="eastAsia" w:ascii="华文新魏" w:hAnsi="宋体" w:eastAsia="华文新魏"/>
        <w:b/>
        <w:spacing w:val="20"/>
        <w:sz w:val="30"/>
        <w:szCs w:val="30"/>
      </w:rPr>
      <w:t>（普通合伙）</w:t>
    </w:r>
  </w:p>
  <w:p>
    <w:pPr>
      <w:tabs>
        <w:tab w:val="left" w:pos="900"/>
        <w:tab w:val="left" w:pos="1080"/>
        <w:tab w:val="left" w:pos="5760"/>
        <w:tab w:val="left" w:pos="5940"/>
        <w:tab w:val="right" w:pos="9180"/>
      </w:tabs>
      <w:spacing w:before="120" w:line="320" w:lineRule="exact"/>
      <w:ind w:left="-141" w:leftChars="-67"/>
      <w:rPr>
        <w:rFonts w:ascii="宋体" w:hAnsi="宋体"/>
        <w:spacing w:val="20"/>
        <w:szCs w:val="21"/>
      </w:rPr>
    </w:pPr>
    <w:r>
      <w:rPr>
        <w:rFonts w:hint="eastAsia" w:ascii="宋体" w:hAnsi="宋体"/>
        <w:spacing w:val="20"/>
        <w:szCs w:val="21"/>
      </w:rPr>
      <w:t>电   话：27809308、26085999、26089326     传真：26089326、27809408</w:t>
    </w:r>
  </w:p>
  <w:p>
    <w:pPr>
      <w:tabs>
        <w:tab w:val="left" w:pos="900"/>
        <w:tab w:val="left" w:pos="1080"/>
        <w:tab w:val="left" w:pos="5760"/>
        <w:tab w:val="left" w:pos="5940"/>
        <w:tab w:val="right" w:pos="9180"/>
      </w:tabs>
      <w:spacing w:before="120" w:line="320" w:lineRule="exact"/>
      <w:ind w:left="-141" w:leftChars="-67"/>
      <w:rPr>
        <w:rFonts w:ascii="宋体" w:hAnsi="宋体"/>
        <w:spacing w:val="20"/>
        <w:szCs w:val="21"/>
      </w:rPr>
    </w:pPr>
    <w:r>
      <w:rPr>
        <w:rFonts w:hint="eastAsia" w:ascii="宋体" w:hAnsi="宋体"/>
        <w:spacing w:val="20"/>
        <w:szCs w:val="21"/>
      </w:rPr>
      <w:t>福田地址：福田区彩田南路彩虹新都彩荟阁6A</w:t>
    </w:r>
    <w:r>
      <w:rPr>
        <w:rFonts w:hint="eastAsia" w:ascii="宋体" w:hAnsi="宋体"/>
        <w:b/>
        <w:spacing w:val="20"/>
        <w:szCs w:val="21"/>
      </w:rPr>
      <w:t xml:space="preserve">   </w:t>
    </w:r>
    <w:r>
      <w:rPr>
        <w:rFonts w:hint="eastAsia" w:ascii="宋体" w:hAnsi="宋体"/>
        <w:spacing w:val="20"/>
        <w:szCs w:val="21"/>
      </w:rPr>
      <w:t>E-mail:Szzh906@163.com</w:t>
    </w:r>
  </w:p>
  <w:p>
    <w:pPr>
      <w:pStyle w:val="6"/>
      <w:pBdr>
        <w:bottom w:val="none" w:color="auto" w:sz="0" w:space="0"/>
      </w:pBdr>
      <w:ind w:hanging="142"/>
      <w:jc w:val="both"/>
    </w:pPr>
    <w:r>
      <w:rPr>
        <w:rFonts w:hint="eastAsia" w:ascii="宋体" w:hAnsi="宋体"/>
        <w:spacing w:val="20"/>
        <w:sz w:val="21"/>
        <w:szCs w:val="21"/>
        <w:u w:val="double"/>
      </w:rPr>
      <w:t>南山地址：南山区桃园路南景苑22F          http://szzh906.cn.alibaba.com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9180"/>
      </w:tabs>
      <w:spacing w:before="120" w:line="460" w:lineRule="exact"/>
      <w:jc w:val="center"/>
      <w:rPr>
        <w:rFonts w:ascii="华文新魏" w:hAnsi="宋体" w:eastAsia="华文新魏"/>
        <w:b/>
        <w:spacing w:val="20"/>
        <w:sz w:val="30"/>
        <w:szCs w:val="30"/>
      </w:rPr>
    </w:pPr>
    <w:r>
      <w:rPr>
        <w:rFonts w:hint="eastAsia" w:ascii="华文新魏" w:hAnsi="宋体" w:eastAsia="华文新魏"/>
        <w:b/>
        <w:spacing w:val="20"/>
        <w:sz w:val="44"/>
        <w:szCs w:val="44"/>
      </w:rPr>
      <w:t>深圳正宏会计师事务所</w:t>
    </w:r>
    <w:r>
      <w:rPr>
        <w:rFonts w:hint="eastAsia" w:ascii="华文新魏" w:hAnsi="宋体" w:eastAsia="华文新魏"/>
        <w:b/>
        <w:spacing w:val="20"/>
        <w:sz w:val="30"/>
        <w:szCs w:val="30"/>
      </w:rPr>
      <w:t>（普通合伙）</w:t>
    </w:r>
  </w:p>
  <w:p>
    <w:pPr>
      <w:tabs>
        <w:tab w:val="left" w:pos="900"/>
        <w:tab w:val="left" w:pos="1080"/>
        <w:tab w:val="left" w:pos="5760"/>
        <w:tab w:val="left" w:pos="5940"/>
        <w:tab w:val="right" w:pos="9180"/>
      </w:tabs>
      <w:spacing w:before="120" w:line="320" w:lineRule="exact"/>
      <w:rPr>
        <w:rFonts w:ascii="宋体" w:hAnsi="宋体"/>
        <w:spacing w:val="20"/>
        <w:szCs w:val="21"/>
      </w:rPr>
    </w:pPr>
    <w:r>
      <w:rPr>
        <w:rFonts w:hint="eastAsia" w:ascii="宋体" w:hAnsi="宋体"/>
        <w:spacing w:val="20"/>
        <w:szCs w:val="21"/>
      </w:rPr>
      <w:t>电   话：27809308、26085999、26089326     传真：26089326、27809408</w:t>
    </w:r>
  </w:p>
  <w:p>
    <w:pPr>
      <w:tabs>
        <w:tab w:val="left" w:pos="5580"/>
        <w:tab w:val="left" w:pos="5940"/>
        <w:tab w:val="right" w:pos="8820"/>
      </w:tabs>
      <w:spacing w:line="320" w:lineRule="exact"/>
      <w:ind w:right="-420" w:rightChars="-200"/>
      <w:rPr>
        <w:rFonts w:ascii="宋体" w:hAnsi="宋体"/>
        <w:spacing w:val="20"/>
        <w:szCs w:val="21"/>
      </w:rPr>
    </w:pPr>
    <w:r>
      <w:rPr>
        <w:rFonts w:hint="eastAsia" w:ascii="宋体" w:hAnsi="宋体"/>
        <w:spacing w:val="20"/>
        <w:szCs w:val="21"/>
      </w:rPr>
      <w:t>福田地址：福田区彩田南路彩虹新都彩荟阁6A</w:t>
    </w:r>
    <w:r>
      <w:rPr>
        <w:rFonts w:hint="eastAsia" w:ascii="宋体" w:hAnsi="宋体"/>
        <w:b/>
        <w:spacing w:val="20"/>
        <w:szCs w:val="21"/>
      </w:rPr>
      <w:t xml:space="preserve">   </w:t>
    </w:r>
    <w:r>
      <w:rPr>
        <w:rFonts w:hint="eastAsia" w:ascii="宋体" w:hAnsi="宋体"/>
        <w:spacing w:val="20"/>
        <w:szCs w:val="21"/>
      </w:rPr>
      <w:t>E-mail:Szzh906@163.com</w:t>
    </w:r>
  </w:p>
  <w:p>
    <w:pPr>
      <w:pStyle w:val="6"/>
      <w:pBdr>
        <w:bottom w:val="none" w:color="auto" w:sz="0" w:space="0"/>
      </w:pBdr>
      <w:jc w:val="both"/>
    </w:pPr>
    <w:r>
      <w:rPr>
        <w:rFonts w:hint="eastAsia" w:ascii="宋体" w:hAnsi="宋体"/>
        <w:spacing w:val="20"/>
        <w:sz w:val="21"/>
        <w:szCs w:val="21"/>
        <w:u w:val="double"/>
      </w:rPr>
      <w:t>南山地址：南山区桃园路南景苑22F         http://szzh906.cn.alibaba.com</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9180"/>
      </w:tabs>
      <w:spacing w:before="120" w:line="460" w:lineRule="exact"/>
      <w:jc w:val="center"/>
      <w:rPr>
        <w:rFonts w:ascii="华文新魏" w:hAnsi="宋体" w:eastAsia="华文新魏"/>
        <w:b/>
        <w:spacing w:val="20"/>
        <w:sz w:val="30"/>
        <w:szCs w:val="30"/>
      </w:rPr>
    </w:pPr>
    <w:r>
      <w:rPr>
        <w:rFonts w:hint="eastAsia" w:ascii="华文新魏" w:hAnsi="宋体" w:eastAsia="华文新魏"/>
        <w:b/>
        <w:spacing w:val="20"/>
        <w:sz w:val="44"/>
        <w:szCs w:val="44"/>
      </w:rPr>
      <w:t>深圳正宏会计师事务所</w:t>
    </w:r>
    <w:r>
      <w:rPr>
        <w:rFonts w:hint="eastAsia" w:ascii="华文新魏" w:hAnsi="宋体" w:eastAsia="华文新魏"/>
        <w:b/>
        <w:spacing w:val="20"/>
        <w:sz w:val="30"/>
        <w:szCs w:val="30"/>
      </w:rPr>
      <w:t>（普通合伙）</w:t>
    </w:r>
  </w:p>
  <w:p>
    <w:pPr>
      <w:tabs>
        <w:tab w:val="left" w:pos="900"/>
        <w:tab w:val="left" w:pos="1080"/>
        <w:tab w:val="left" w:pos="5760"/>
        <w:tab w:val="left" w:pos="5940"/>
        <w:tab w:val="right" w:pos="9180"/>
      </w:tabs>
      <w:spacing w:before="120" w:line="320" w:lineRule="exact"/>
      <w:ind w:left="-141" w:leftChars="-67"/>
      <w:rPr>
        <w:rFonts w:ascii="宋体" w:hAnsi="宋体"/>
        <w:spacing w:val="20"/>
        <w:szCs w:val="21"/>
      </w:rPr>
    </w:pPr>
    <w:r>
      <w:rPr>
        <w:rFonts w:hint="eastAsia" w:ascii="宋体" w:hAnsi="宋体"/>
        <w:spacing w:val="20"/>
        <w:szCs w:val="21"/>
      </w:rPr>
      <w:t>电   话：27809308、26085999、26089326     传真：26089326、27809408</w:t>
    </w:r>
  </w:p>
  <w:p>
    <w:pPr>
      <w:tabs>
        <w:tab w:val="left" w:pos="900"/>
        <w:tab w:val="left" w:pos="1080"/>
        <w:tab w:val="left" w:pos="5760"/>
        <w:tab w:val="left" w:pos="5940"/>
        <w:tab w:val="right" w:pos="9180"/>
      </w:tabs>
      <w:spacing w:before="120" w:line="320" w:lineRule="exact"/>
      <w:ind w:left="-141" w:leftChars="-67"/>
      <w:rPr>
        <w:rFonts w:ascii="宋体" w:hAnsi="宋体"/>
        <w:spacing w:val="20"/>
        <w:szCs w:val="21"/>
      </w:rPr>
    </w:pPr>
    <w:r>
      <w:rPr>
        <w:rFonts w:hint="eastAsia" w:ascii="宋体" w:hAnsi="宋体"/>
        <w:spacing w:val="20"/>
        <w:szCs w:val="21"/>
      </w:rPr>
      <w:t>福田地址：福田区彩田南路彩虹新都彩荟阁6A</w:t>
    </w:r>
    <w:r>
      <w:rPr>
        <w:rFonts w:hint="eastAsia" w:ascii="宋体" w:hAnsi="宋体"/>
        <w:b/>
        <w:spacing w:val="20"/>
        <w:szCs w:val="21"/>
      </w:rPr>
      <w:t xml:space="preserve">   </w:t>
    </w:r>
    <w:r>
      <w:rPr>
        <w:rFonts w:hint="eastAsia" w:ascii="宋体" w:hAnsi="宋体"/>
        <w:spacing w:val="20"/>
        <w:szCs w:val="21"/>
      </w:rPr>
      <w:t>E-mail:Szzh906@163.com</w:t>
    </w:r>
  </w:p>
  <w:p>
    <w:pPr>
      <w:pStyle w:val="6"/>
      <w:pBdr>
        <w:bottom w:val="none" w:color="auto" w:sz="0" w:space="0"/>
      </w:pBdr>
      <w:ind w:hanging="142"/>
      <w:jc w:val="both"/>
    </w:pPr>
    <w:r>
      <w:rPr>
        <w:rFonts w:hint="eastAsia" w:ascii="宋体" w:hAnsi="宋体"/>
        <w:spacing w:val="20"/>
        <w:sz w:val="21"/>
        <w:szCs w:val="21"/>
        <w:u w:val="double"/>
      </w:rPr>
      <w:t>南山地址：南山区桃园路南景苑22F          http://szzh906.cn.alibaba.com</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F0F8F"/>
    <w:rsid w:val="000010BC"/>
    <w:rsid w:val="0000231F"/>
    <w:rsid w:val="00005DC6"/>
    <w:rsid w:val="00012B7C"/>
    <w:rsid w:val="00013916"/>
    <w:rsid w:val="00014B65"/>
    <w:rsid w:val="000317C5"/>
    <w:rsid w:val="00032E97"/>
    <w:rsid w:val="00036647"/>
    <w:rsid w:val="0005733E"/>
    <w:rsid w:val="00063A64"/>
    <w:rsid w:val="00071EC3"/>
    <w:rsid w:val="00075820"/>
    <w:rsid w:val="000835B7"/>
    <w:rsid w:val="00083DA7"/>
    <w:rsid w:val="00086618"/>
    <w:rsid w:val="000922B6"/>
    <w:rsid w:val="00093BE3"/>
    <w:rsid w:val="00097ED3"/>
    <w:rsid w:val="000A1AE0"/>
    <w:rsid w:val="000A29D1"/>
    <w:rsid w:val="000A3D2F"/>
    <w:rsid w:val="000A4369"/>
    <w:rsid w:val="000A4D80"/>
    <w:rsid w:val="000B184A"/>
    <w:rsid w:val="000C5021"/>
    <w:rsid w:val="000D6B5F"/>
    <w:rsid w:val="000E14C5"/>
    <w:rsid w:val="000E173C"/>
    <w:rsid w:val="000E2296"/>
    <w:rsid w:val="000E5E3B"/>
    <w:rsid w:val="000F35D4"/>
    <w:rsid w:val="00101B22"/>
    <w:rsid w:val="00103301"/>
    <w:rsid w:val="0010358F"/>
    <w:rsid w:val="00105874"/>
    <w:rsid w:val="0012520D"/>
    <w:rsid w:val="001307B1"/>
    <w:rsid w:val="001308B4"/>
    <w:rsid w:val="00131652"/>
    <w:rsid w:val="00133728"/>
    <w:rsid w:val="001420FD"/>
    <w:rsid w:val="001528F5"/>
    <w:rsid w:val="001605D3"/>
    <w:rsid w:val="001668FA"/>
    <w:rsid w:val="001713EC"/>
    <w:rsid w:val="00173B9A"/>
    <w:rsid w:val="00174FAC"/>
    <w:rsid w:val="00175AA3"/>
    <w:rsid w:val="00181CF4"/>
    <w:rsid w:val="00190D47"/>
    <w:rsid w:val="001949E0"/>
    <w:rsid w:val="001963BB"/>
    <w:rsid w:val="001A2D4A"/>
    <w:rsid w:val="001A5B03"/>
    <w:rsid w:val="001B09A0"/>
    <w:rsid w:val="001B0E6B"/>
    <w:rsid w:val="001C5F6F"/>
    <w:rsid w:val="001C6DB9"/>
    <w:rsid w:val="001D157C"/>
    <w:rsid w:val="001D1ACC"/>
    <w:rsid w:val="001D229D"/>
    <w:rsid w:val="001D5766"/>
    <w:rsid w:val="001E4C1E"/>
    <w:rsid w:val="001F0BFE"/>
    <w:rsid w:val="001F3CA9"/>
    <w:rsid w:val="001F7615"/>
    <w:rsid w:val="00203A7A"/>
    <w:rsid w:val="002065B4"/>
    <w:rsid w:val="0021395B"/>
    <w:rsid w:val="002146D9"/>
    <w:rsid w:val="00217C39"/>
    <w:rsid w:val="00221645"/>
    <w:rsid w:val="00226B68"/>
    <w:rsid w:val="0023215E"/>
    <w:rsid w:val="00242DBC"/>
    <w:rsid w:val="00243394"/>
    <w:rsid w:val="002533F5"/>
    <w:rsid w:val="00254981"/>
    <w:rsid w:val="0025612A"/>
    <w:rsid w:val="00256193"/>
    <w:rsid w:val="002622C9"/>
    <w:rsid w:val="00274EB4"/>
    <w:rsid w:val="00281157"/>
    <w:rsid w:val="00286D8F"/>
    <w:rsid w:val="002A6DB4"/>
    <w:rsid w:val="002A6EDA"/>
    <w:rsid w:val="002C0A5E"/>
    <w:rsid w:val="002C271B"/>
    <w:rsid w:val="002C3B58"/>
    <w:rsid w:val="002C3DE8"/>
    <w:rsid w:val="002C55BB"/>
    <w:rsid w:val="002D109D"/>
    <w:rsid w:val="002D2DC4"/>
    <w:rsid w:val="002E3010"/>
    <w:rsid w:val="002E39AF"/>
    <w:rsid w:val="002E5338"/>
    <w:rsid w:val="002E5EB3"/>
    <w:rsid w:val="002F0C0D"/>
    <w:rsid w:val="00310378"/>
    <w:rsid w:val="0031456B"/>
    <w:rsid w:val="003167D9"/>
    <w:rsid w:val="00320AA1"/>
    <w:rsid w:val="003217CF"/>
    <w:rsid w:val="00323390"/>
    <w:rsid w:val="00325374"/>
    <w:rsid w:val="0033789F"/>
    <w:rsid w:val="00342028"/>
    <w:rsid w:val="00346234"/>
    <w:rsid w:val="00351381"/>
    <w:rsid w:val="003518C9"/>
    <w:rsid w:val="00357FF1"/>
    <w:rsid w:val="003663B7"/>
    <w:rsid w:val="003773D7"/>
    <w:rsid w:val="00384056"/>
    <w:rsid w:val="003B23C6"/>
    <w:rsid w:val="003B60E2"/>
    <w:rsid w:val="003C304C"/>
    <w:rsid w:val="003C43BA"/>
    <w:rsid w:val="003C6266"/>
    <w:rsid w:val="003C6521"/>
    <w:rsid w:val="003D2AC1"/>
    <w:rsid w:val="003E3C48"/>
    <w:rsid w:val="003E465E"/>
    <w:rsid w:val="003F5BBD"/>
    <w:rsid w:val="003F6B50"/>
    <w:rsid w:val="003F77F6"/>
    <w:rsid w:val="004014AB"/>
    <w:rsid w:val="004015C2"/>
    <w:rsid w:val="0040267D"/>
    <w:rsid w:val="0040348E"/>
    <w:rsid w:val="00405D7D"/>
    <w:rsid w:val="00413D86"/>
    <w:rsid w:val="004243E2"/>
    <w:rsid w:val="004322CA"/>
    <w:rsid w:val="00440079"/>
    <w:rsid w:val="00444E88"/>
    <w:rsid w:val="00447527"/>
    <w:rsid w:val="00454B26"/>
    <w:rsid w:val="004568E2"/>
    <w:rsid w:val="00461AD8"/>
    <w:rsid w:val="00462489"/>
    <w:rsid w:val="00464F41"/>
    <w:rsid w:val="0047641A"/>
    <w:rsid w:val="0048574E"/>
    <w:rsid w:val="00497102"/>
    <w:rsid w:val="004A673D"/>
    <w:rsid w:val="004B5EF4"/>
    <w:rsid w:val="004C643C"/>
    <w:rsid w:val="004D0AB5"/>
    <w:rsid w:val="004D1EC3"/>
    <w:rsid w:val="004F5B85"/>
    <w:rsid w:val="00521730"/>
    <w:rsid w:val="00522BA4"/>
    <w:rsid w:val="00524291"/>
    <w:rsid w:val="005258EC"/>
    <w:rsid w:val="005275EF"/>
    <w:rsid w:val="00527BC6"/>
    <w:rsid w:val="00531C8F"/>
    <w:rsid w:val="005327A9"/>
    <w:rsid w:val="005428E9"/>
    <w:rsid w:val="005472E9"/>
    <w:rsid w:val="00550D23"/>
    <w:rsid w:val="00551C90"/>
    <w:rsid w:val="005709AB"/>
    <w:rsid w:val="00576CA5"/>
    <w:rsid w:val="005901E9"/>
    <w:rsid w:val="005918D2"/>
    <w:rsid w:val="005A54A2"/>
    <w:rsid w:val="005B05FA"/>
    <w:rsid w:val="005B0FB2"/>
    <w:rsid w:val="005B49D8"/>
    <w:rsid w:val="005D1D8F"/>
    <w:rsid w:val="005E623B"/>
    <w:rsid w:val="005F027E"/>
    <w:rsid w:val="005F17DE"/>
    <w:rsid w:val="005F5AD1"/>
    <w:rsid w:val="006007EC"/>
    <w:rsid w:val="006072F5"/>
    <w:rsid w:val="00607570"/>
    <w:rsid w:val="00612441"/>
    <w:rsid w:val="00616374"/>
    <w:rsid w:val="0062621F"/>
    <w:rsid w:val="006331BF"/>
    <w:rsid w:val="00637782"/>
    <w:rsid w:val="006443E4"/>
    <w:rsid w:val="006445B1"/>
    <w:rsid w:val="006447EE"/>
    <w:rsid w:val="006728B4"/>
    <w:rsid w:val="006B084E"/>
    <w:rsid w:val="006B0933"/>
    <w:rsid w:val="006B1402"/>
    <w:rsid w:val="006B3230"/>
    <w:rsid w:val="006C7A04"/>
    <w:rsid w:val="006D325C"/>
    <w:rsid w:val="006D7422"/>
    <w:rsid w:val="00700682"/>
    <w:rsid w:val="00702741"/>
    <w:rsid w:val="00703A01"/>
    <w:rsid w:val="007061CD"/>
    <w:rsid w:val="007124CA"/>
    <w:rsid w:val="007151D9"/>
    <w:rsid w:val="00727D7E"/>
    <w:rsid w:val="00730EC4"/>
    <w:rsid w:val="00732342"/>
    <w:rsid w:val="00732FCB"/>
    <w:rsid w:val="00735FC0"/>
    <w:rsid w:val="00740D8B"/>
    <w:rsid w:val="00743E91"/>
    <w:rsid w:val="00746EA4"/>
    <w:rsid w:val="0075128D"/>
    <w:rsid w:val="007660F0"/>
    <w:rsid w:val="007748BD"/>
    <w:rsid w:val="00777570"/>
    <w:rsid w:val="00783301"/>
    <w:rsid w:val="0078616D"/>
    <w:rsid w:val="007A1102"/>
    <w:rsid w:val="007A2A75"/>
    <w:rsid w:val="007C072E"/>
    <w:rsid w:val="007C0820"/>
    <w:rsid w:val="007E3E3C"/>
    <w:rsid w:val="007F0F8F"/>
    <w:rsid w:val="007F77BE"/>
    <w:rsid w:val="00803794"/>
    <w:rsid w:val="00804E97"/>
    <w:rsid w:val="00812B21"/>
    <w:rsid w:val="008177FE"/>
    <w:rsid w:val="00821DD7"/>
    <w:rsid w:val="00822D57"/>
    <w:rsid w:val="00822E73"/>
    <w:rsid w:val="0082382C"/>
    <w:rsid w:val="008265B2"/>
    <w:rsid w:val="00844AC5"/>
    <w:rsid w:val="00846ADD"/>
    <w:rsid w:val="00853A0F"/>
    <w:rsid w:val="00857BFD"/>
    <w:rsid w:val="0086545D"/>
    <w:rsid w:val="0087023A"/>
    <w:rsid w:val="008737EE"/>
    <w:rsid w:val="00873E8C"/>
    <w:rsid w:val="00873EFE"/>
    <w:rsid w:val="00874188"/>
    <w:rsid w:val="0087634E"/>
    <w:rsid w:val="00877CDF"/>
    <w:rsid w:val="008956DD"/>
    <w:rsid w:val="008B21EA"/>
    <w:rsid w:val="008B28F2"/>
    <w:rsid w:val="008C1782"/>
    <w:rsid w:val="008C20A6"/>
    <w:rsid w:val="008C4370"/>
    <w:rsid w:val="008C6D4D"/>
    <w:rsid w:val="008D2E8A"/>
    <w:rsid w:val="008D65B2"/>
    <w:rsid w:val="008E0BBF"/>
    <w:rsid w:val="008E1AC6"/>
    <w:rsid w:val="008E2DAF"/>
    <w:rsid w:val="008E3229"/>
    <w:rsid w:val="008F2E47"/>
    <w:rsid w:val="008F33C0"/>
    <w:rsid w:val="008F4373"/>
    <w:rsid w:val="00903C91"/>
    <w:rsid w:val="00905929"/>
    <w:rsid w:val="00905B0E"/>
    <w:rsid w:val="00915A8E"/>
    <w:rsid w:val="00916C5B"/>
    <w:rsid w:val="00921A90"/>
    <w:rsid w:val="00922B1B"/>
    <w:rsid w:val="00926FD1"/>
    <w:rsid w:val="009341DA"/>
    <w:rsid w:val="009347DC"/>
    <w:rsid w:val="009372E5"/>
    <w:rsid w:val="00944E82"/>
    <w:rsid w:val="0094592E"/>
    <w:rsid w:val="009479BE"/>
    <w:rsid w:val="00952E94"/>
    <w:rsid w:val="00955B90"/>
    <w:rsid w:val="009717BB"/>
    <w:rsid w:val="00982EA4"/>
    <w:rsid w:val="00992431"/>
    <w:rsid w:val="00997E04"/>
    <w:rsid w:val="009A2A60"/>
    <w:rsid w:val="009A493F"/>
    <w:rsid w:val="009D3686"/>
    <w:rsid w:val="009E1D54"/>
    <w:rsid w:val="009E340D"/>
    <w:rsid w:val="009E49B7"/>
    <w:rsid w:val="009E6707"/>
    <w:rsid w:val="009F0AAC"/>
    <w:rsid w:val="009F1D1A"/>
    <w:rsid w:val="009F6563"/>
    <w:rsid w:val="00A00370"/>
    <w:rsid w:val="00A009AB"/>
    <w:rsid w:val="00A0487D"/>
    <w:rsid w:val="00A04A66"/>
    <w:rsid w:val="00A10A5E"/>
    <w:rsid w:val="00A13EF1"/>
    <w:rsid w:val="00A157CF"/>
    <w:rsid w:val="00A163E9"/>
    <w:rsid w:val="00A243BC"/>
    <w:rsid w:val="00A2561B"/>
    <w:rsid w:val="00A2772E"/>
    <w:rsid w:val="00A31396"/>
    <w:rsid w:val="00A36475"/>
    <w:rsid w:val="00A36869"/>
    <w:rsid w:val="00A375F6"/>
    <w:rsid w:val="00A52E89"/>
    <w:rsid w:val="00A60919"/>
    <w:rsid w:val="00A64BEF"/>
    <w:rsid w:val="00A75FA5"/>
    <w:rsid w:val="00A76982"/>
    <w:rsid w:val="00A82322"/>
    <w:rsid w:val="00A849F9"/>
    <w:rsid w:val="00A90D7E"/>
    <w:rsid w:val="00A915A5"/>
    <w:rsid w:val="00AA167F"/>
    <w:rsid w:val="00AA4E80"/>
    <w:rsid w:val="00AC1C76"/>
    <w:rsid w:val="00AC3761"/>
    <w:rsid w:val="00AC3E41"/>
    <w:rsid w:val="00AC6FA0"/>
    <w:rsid w:val="00AD5112"/>
    <w:rsid w:val="00AD52E1"/>
    <w:rsid w:val="00AD6E87"/>
    <w:rsid w:val="00AE335C"/>
    <w:rsid w:val="00B014F4"/>
    <w:rsid w:val="00B030F4"/>
    <w:rsid w:val="00B1458C"/>
    <w:rsid w:val="00B14DC2"/>
    <w:rsid w:val="00B150F8"/>
    <w:rsid w:val="00B15C0C"/>
    <w:rsid w:val="00B21D06"/>
    <w:rsid w:val="00B2289B"/>
    <w:rsid w:val="00B3788B"/>
    <w:rsid w:val="00B37E42"/>
    <w:rsid w:val="00B40AAF"/>
    <w:rsid w:val="00B4365F"/>
    <w:rsid w:val="00B66AE8"/>
    <w:rsid w:val="00B6714B"/>
    <w:rsid w:val="00B70616"/>
    <w:rsid w:val="00B7538C"/>
    <w:rsid w:val="00B80440"/>
    <w:rsid w:val="00B83162"/>
    <w:rsid w:val="00B849CE"/>
    <w:rsid w:val="00BA3182"/>
    <w:rsid w:val="00BA6031"/>
    <w:rsid w:val="00BA668F"/>
    <w:rsid w:val="00BA7708"/>
    <w:rsid w:val="00BB19A5"/>
    <w:rsid w:val="00BB19DD"/>
    <w:rsid w:val="00BB59F7"/>
    <w:rsid w:val="00BC13AE"/>
    <w:rsid w:val="00BC3BA5"/>
    <w:rsid w:val="00BD2653"/>
    <w:rsid w:val="00BD5A24"/>
    <w:rsid w:val="00BE1C84"/>
    <w:rsid w:val="00BE4783"/>
    <w:rsid w:val="00BE4F51"/>
    <w:rsid w:val="00BE6AA6"/>
    <w:rsid w:val="00BF323E"/>
    <w:rsid w:val="00C05DE0"/>
    <w:rsid w:val="00C1001F"/>
    <w:rsid w:val="00C12EA9"/>
    <w:rsid w:val="00C21983"/>
    <w:rsid w:val="00C220AC"/>
    <w:rsid w:val="00C22A3A"/>
    <w:rsid w:val="00C275F3"/>
    <w:rsid w:val="00C36AAB"/>
    <w:rsid w:val="00C4077D"/>
    <w:rsid w:val="00C4517C"/>
    <w:rsid w:val="00C51A06"/>
    <w:rsid w:val="00C535BE"/>
    <w:rsid w:val="00C543EC"/>
    <w:rsid w:val="00C60FE8"/>
    <w:rsid w:val="00C641EB"/>
    <w:rsid w:val="00C80C49"/>
    <w:rsid w:val="00C828F0"/>
    <w:rsid w:val="00C912F4"/>
    <w:rsid w:val="00C929CC"/>
    <w:rsid w:val="00C92ED2"/>
    <w:rsid w:val="00CA5EB7"/>
    <w:rsid w:val="00CB3755"/>
    <w:rsid w:val="00CC1270"/>
    <w:rsid w:val="00CD024E"/>
    <w:rsid w:val="00CD1442"/>
    <w:rsid w:val="00CD187D"/>
    <w:rsid w:val="00CE7301"/>
    <w:rsid w:val="00D063EC"/>
    <w:rsid w:val="00D06E19"/>
    <w:rsid w:val="00D103DF"/>
    <w:rsid w:val="00D1441B"/>
    <w:rsid w:val="00D14641"/>
    <w:rsid w:val="00D24E58"/>
    <w:rsid w:val="00D33EF2"/>
    <w:rsid w:val="00D40DD1"/>
    <w:rsid w:val="00D4764F"/>
    <w:rsid w:val="00D47F54"/>
    <w:rsid w:val="00D546C3"/>
    <w:rsid w:val="00D57BA6"/>
    <w:rsid w:val="00D64111"/>
    <w:rsid w:val="00D7240D"/>
    <w:rsid w:val="00D90433"/>
    <w:rsid w:val="00D90A8A"/>
    <w:rsid w:val="00D92C89"/>
    <w:rsid w:val="00DA2549"/>
    <w:rsid w:val="00DA4152"/>
    <w:rsid w:val="00DA4FD4"/>
    <w:rsid w:val="00DC4215"/>
    <w:rsid w:val="00DD3563"/>
    <w:rsid w:val="00DE0591"/>
    <w:rsid w:val="00DE16DB"/>
    <w:rsid w:val="00DF75B7"/>
    <w:rsid w:val="00DF7C5F"/>
    <w:rsid w:val="00E043DD"/>
    <w:rsid w:val="00E077A3"/>
    <w:rsid w:val="00E1179B"/>
    <w:rsid w:val="00E15F85"/>
    <w:rsid w:val="00E16D82"/>
    <w:rsid w:val="00E23A4F"/>
    <w:rsid w:val="00E26AEE"/>
    <w:rsid w:val="00E325D4"/>
    <w:rsid w:val="00E32757"/>
    <w:rsid w:val="00E370D9"/>
    <w:rsid w:val="00E45D5E"/>
    <w:rsid w:val="00E57C5E"/>
    <w:rsid w:val="00E75480"/>
    <w:rsid w:val="00E827A6"/>
    <w:rsid w:val="00E84404"/>
    <w:rsid w:val="00E85F8F"/>
    <w:rsid w:val="00E86AAF"/>
    <w:rsid w:val="00E86CBA"/>
    <w:rsid w:val="00E914D6"/>
    <w:rsid w:val="00EA6017"/>
    <w:rsid w:val="00EA615F"/>
    <w:rsid w:val="00EB3F33"/>
    <w:rsid w:val="00EC442D"/>
    <w:rsid w:val="00ED728E"/>
    <w:rsid w:val="00EE0FA4"/>
    <w:rsid w:val="00EE1D10"/>
    <w:rsid w:val="00EE46D0"/>
    <w:rsid w:val="00EF3BE6"/>
    <w:rsid w:val="00F03E57"/>
    <w:rsid w:val="00F04303"/>
    <w:rsid w:val="00F124AE"/>
    <w:rsid w:val="00F25DF9"/>
    <w:rsid w:val="00F2675A"/>
    <w:rsid w:val="00F27B23"/>
    <w:rsid w:val="00F31B28"/>
    <w:rsid w:val="00F7390D"/>
    <w:rsid w:val="00F769B8"/>
    <w:rsid w:val="00F829A0"/>
    <w:rsid w:val="00F94EEB"/>
    <w:rsid w:val="00FB7DD1"/>
    <w:rsid w:val="00FC7BF5"/>
    <w:rsid w:val="00FD209E"/>
    <w:rsid w:val="00FD4450"/>
    <w:rsid w:val="00FD4E8E"/>
    <w:rsid w:val="00FE2E7F"/>
    <w:rsid w:val="00FE686F"/>
    <w:rsid w:val="0568116E"/>
    <w:rsid w:val="06297E50"/>
    <w:rsid w:val="094C55D1"/>
    <w:rsid w:val="143A53BF"/>
    <w:rsid w:val="217617A0"/>
    <w:rsid w:val="221200F3"/>
    <w:rsid w:val="25BE0B79"/>
    <w:rsid w:val="3A4E18D5"/>
    <w:rsid w:val="3E744A86"/>
    <w:rsid w:val="3ED328A1"/>
    <w:rsid w:val="424E4D56"/>
    <w:rsid w:val="50F20458"/>
    <w:rsid w:val="547A32A8"/>
    <w:rsid w:val="570219CD"/>
    <w:rsid w:val="6F2914EE"/>
    <w:rsid w:val="705D0266"/>
    <w:rsid w:val="76AE47C2"/>
    <w:rsid w:val="7ADF0D25"/>
    <w:rsid w:val="7C1977A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Document Map"/>
    <w:basedOn w:val="1"/>
    <w:link w:val="15"/>
    <w:uiPriority w:val="0"/>
    <w:rPr>
      <w:rFonts w:ascii="宋体"/>
      <w:sz w:val="18"/>
      <w:szCs w:val="18"/>
    </w:rPr>
  </w:style>
  <w:style w:type="paragraph" w:styleId="3">
    <w:name w:val="Body Text Indent"/>
    <w:basedOn w:val="1"/>
    <w:link w:val="14"/>
    <w:uiPriority w:val="0"/>
    <w:pPr>
      <w:spacing w:after="120"/>
      <w:ind w:left="420" w:leftChars="200"/>
    </w:pPr>
  </w:style>
  <w:style w:type="paragraph" w:styleId="4">
    <w:name w:val="Body Text Indent 2"/>
    <w:basedOn w:val="1"/>
    <w:link w:val="13"/>
    <w:uiPriority w:val="0"/>
    <w:pPr>
      <w:spacing w:line="420" w:lineRule="exact"/>
      <w:ind w:firstLine="1260" w:firstLineChars="525"/>
    </w:pPr>
    <w:rPr>
      <w:rFonts w:ascii="仿宋_GB2312" w:hAnsi="宋体" w:eastAsia="仿宋_GB2312"/>
      <w:sz w:val="24"/>
      <w:szCs w:val="24"/>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table" w:styleId="10">
    <w:name w:val="Table Grid"/>
    <w:basedOn w:val="9"/>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1">
    <w:name w:val="页眉 Char"/>
    <w:link w:val="6"/>
    <w:qFormat/>
    <w:uiPriority w:val="0"/>
    <w:rPr>
      <w:kern w:val="2"/>
      <w:sz w:val="18"/>
      <w:szCs w:val="18"/>
    </w:rPr>
  </w:style>
  <w:style w:type="character" w:customStyle="1" w:styleId="12">
    <w:name w:val="页脚 Char"/>
    <w:link w:val="5"/>
    <w:uiPriority w:val="99"/>
    <w:rPr>
      <w:kern w:val="2"/>
      <w:sz w:val="18"/>
      <w:szCs w:val="18"/>
    </w:rPr>
  </w:style>
  <w:style w:type="character" w:customStyle="1" w:styleId="13">
    <w:name w:val="正文文本缩进 2 Char"/>
    <w:link w:val="4"/>
    <w:uiPriority w:val="0"/>
    <w:rPr>
      <w:rFonts w:ascii="仿宋_GB2312" w:hAnsi="宋体" w:eastAsia="仿宋_GB2312"/>
      <w:kern w:val="2"/>
      <w:sz w:val="24"/>
      <w:szCs w:val="24"/>
    </w:rPr>
  </w:style>
  <w:style w:type="character" w:customStyle="1" w:styleId="14">
    <w:name w:val="正文文本缩进 Char"/>
    <w:basedOn w:val="7"/>
    <w:link w:val="3"/>
    <w:uiPriority w:val="0"/>
    <w:rPr>
      <w:kern w:val="2"/>
      <w:sz w:val="21"/>
    </w:rPr>
  </w:style>
  <w:style w:type="character" w:customStyle="1" w:styleId="15">
    <w:name w:val="文档结构图 Char"/>
    <w:basedOn w:val="7"/>
    <w:link w:val="2"/>
    <w:uiPriority w:val="0"/>
    <w:rPr>
      <w:rFonts w:asci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17D772-96B0-4487-9E8E-7B111A5883A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901</Words>
  <Characters>5137</Characters>
  <Lines>42</Lines>
  <Paragraphs>12</Paragraphs>
  <TotalTime>0</TotalTime>
  <ScaleCrop>false</ScaleCrop>
  <LinksUpToDate>false</LinksUpToDate>
  <CharactersWithSpaces>6026</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2015-04-28T15:12:00Z</dcterms:created>
  <dc:creator>微软用户</dc:creator>
  <cp:lastModifiedBy>thankpad</cp:lastModifiedBy>
  <cp:lastPrinted>2016-03-15T01:50:00Z</cp:lastPrinted>
  <dcterms:modified xsi:type="dcterms:W3CDTF">2016-03-28T07:22:26Z</dcterms:modified>
  <dc:title>深圳市宝安区新安街道红苹果幼儿园</dc:title>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